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451F0" w14:textId="77777777" w:rsidR="00817066" w:rsidRDefault="00817066" w:rsidP="00F038F5">
      <w:pPr>
        <w:jc w:val="center"/>
        <w:rPr>
          <w:b/>
          <w:bCs/>
        </w:rPr>
      </w:pPr>
    </w:p>
    <w:p w14:paraId="6FFB9107" w14:textId="46F5B459" w:rsidR="00F038F5" w:rsidRPr="00C267C1" w:rsidRDefault="00F038F5" w:rsidP="00F038F5">
      <w:pPr>
        <w:jc w:val="center"/>
        <w:rPr>
          <w:rFonts w:asciiTheme="minorHAnsi" w:hAnsiTheme="minorHAnsi" w:cstheme="minorHAnsi"/>
          <w:b/>
          <w:bCs/>
        </w:rPr>
      </w:pPr>
      <w:r w:rsidRPr="00C267C1">
        <w:rPr>
          <w:rFonts w:asciiTheme="minorHAnsi" w:hAnsiTheme="minorHAnsi" w:cstheme="minorHAnsi"/>
          <w:b/>
          <w:bCs/>
        </w:rPr>
        <w:t>Housing and Community Development Department’s</w:t>
      </w:r>
      <w:r w:rsidR="00965715" w:rsidRPr="00C267C1">
        <w:rPr>
          <w:rFonts w:asciiTheme="minorHAnsi" w:hAnsiTheme="minorHAnsi" w:cstheme="minorHAnsi"/>
          <w:b/>
          <w:bCs/>
        </w:rPr>
        <w:t xml:space="preserve"> </w:t>
      </w:r>
    </w:p>
    <w:p w14:paraId="79C8187C" w14:textId="3B55C60E" w:rsidR="00FF5DB7" w:rsidRPr="00C267C1" w:rsidRDefault="00F038F5" w:rsidP="00D77C96">
      <w:pPr>
        <w:jc w:val="center"/>
        <w:rPr>
          <w:rFonts w:asciiTheme="minorHAnsi" w:hAnsiTheme="minorHAnsi" w:cstheme="minorHAnsi"/>
          <w:b/>
          <w:bCs/>
        </w:rPr>
      </w:pPr>
      <w:bookmarkStart w:id="1" w:name="_Hlk23513392"/>
      <w:r w:rsidRPr="00C267C1">
        <w:rPr>
          <w:rFonts w:asciiTheme="minorHAnsi" w:hAnsiTheme="minorHAnsi" w:cstheme="minorHAnsi"/>
          <w:b/>
          <w:bCs/>
        </w:rPr>
        <w:t>Housing Tax Credit Resolution Guidelines - 20</w:t>
      </w:r>
      <w:r w:rsidR="00EB1AB4" w:rsidRPr="00C267C1">
        <w:rPr>
          <w:rFonts w:asciiTheme="minorHAnsi" w:hAnsiTheme="minorHAnsi" w:cstheme="minorHAnsi"/>
          <w:b/>
          <w:bCs/>
        </w:rPr>
        <w:t>20</w:t>
      </w:r>
      <w:r w:rsidR="00347CAE" w:rsidRPr="00C267C1">
        <w:rPr>
          <w:rFonts w:asciiTheme="minorHAnsi" w:hAnsiTheme="minorHAnsi" w:cstheme="minorHAnsi"/>
          <w:b/>
          <w:bCs/>
        </w:rPr>
        <w:t xml:space="preserve"> </w:t>
      </w:r>
    </w:p>
    <w:bookmarkEnd w:id="1"/>
    <w:p w14:paraId="0C604503" w14:textId="5B1498BE" w:rsidR="002D5C41" w:rsidRPr="00C267C1" w:rsidRDefault="002D5C41" w:rsidP="00FF5DB7">
      <w:pPr>
        <w:jc w:val="center"/>
        <w:rPr>
          <w:rFonts w:asciiTheme="minorHAnsi" w:hAnsiTheme="minorHAnsi" w:cstheme="minorHAnsi"/>
          <w:b/>
          <w:bCs/>
        </w:rPr>
      </w:pPr>
    </w:p>
    <w:p w14:paraId="26DA47A2" w14:textId="77777777" w:rsidR="004811E4" w:rsidRPr="00C267C1" w:rsidRDefault="004811E4" w:rsidP="004811E4">
      <w:pPr>
        <w:jc w:val="center"/>
        <w:rPr>
          <w:rFonts w:asciiTheme="minorHAnsi" w:hAnsiTheme="minorHAnsi" w:cstheme="minorHAnsi"/>
          <w:bCs/>
          <w:u w:val="single"/>
        </w:rPr>
      </w:pPr>
    </w:p>
    <w:p w14:paraId="403485C5" w14:textId="3C6DB22A" w:rsidR="00965715" w:rsidRPr="00C267C1" w:rsidRDefault="00087C8A" w:rsidP="00CF0DA6">
      <w:pPr>
        <w:jc w:val="both"/>
        <w:rPr>
          <w:rFonts w:asciiTheme="minorHAnsi" w:hAnsiTheme="minorHAnsi" w:cstheme="minorHAnsi"/>
          <w:bCs/>
        </w:rPr>
      </w:pPr>
      <w:r w:rsidRPr="00C267C1">
        <w:rPr>
          <w:rFonts w:asciiTheme="minorHAnsi" w:hAnsiTheme="minorHAnsi" w:cstheme="minorHAnsi"/>
          <w:bCs/>
        </w:rPr>
        <w:t>The Housing &amp; Community Development Department (</w:t>
      </w:r>
      <w:r w:rsidR="004811E4" w:rsidRPr="00C267C1">
        <w:rPr>
          <w:rFonts w:asciiTheme="minorHAnsi" w:hAnsiTheme="minorHAnsi" w:cstheme="minorHAnsi"/>
          <w:bCs/>
        </w:rPr>
        <w:t>HCDD</w:t>
      </w:r>
      <w:r w:rsidRPr="00C267C1">
        <w:rPr>
          <w:rFonts w:asciiTheme="minorHAnsi" w:hAnsiTheme="minorHAnsi" w:cstheme="minorHAnsi"/>
          <w:bCs/>
        </w:rPr>
        <w:t>)</w:t>
      </w:r>
      <w:r w:rsidR="004811E4" w:rsidRPr="00C267C1">
        <w:rPr>
          <w:rFonts w:asciiTheme="minorHAnsi" w:hAnsiTheme="minorHAnsi" w:cstheme="minorHAnsi"/>
          <w:bCs/>
        </w:rPr>
        <w:t xml:space="preserve"> seeks to provide guidance for obtaining a Resolution of Support or Resolution of No Objection for developments pursuing Housing Tax Credits (HTC). </w:t>
      </w:r>
      <w:r w:rsidRPr="00C267C1">
        <w:rPr>
          <w:rFonts w:asciiTheme="minorHAnsi" w:hAnsiTheme="minorHAnsi" w:cstheme="minorHAnsi"/>
          <w:bCs/>
        </w:rPr>
        <w:t>The shortage of affordable rental housing was exacerbated by Hurricane Harvey. HCDD aims to address this shortage and meet the needs of disaster impacted rental households by sup</w:t>
      </w:r>
      <w:r w:rsidR="00113D15" w:rsidRPr="00C267C1">
        <w:rPr>
          <w:rFonts w:asciiTheme="minorHAnsi" w:hAnsiTheme="minorHAnsi" w:cstheme="minorHAnsi"/>
          <w:bCs/>
        </w:rPr>
        <w:t xml:space="preserve">porting </w:t>
      </w:r>
      <w:r w:rsidR="00462987" w:rsidRPr="00C267C1">
        <w:rPr>
          <w:rFonts w:asciiTheme="minorHAnsi" w:hAnsiTheme="minorHAnsi" w:cstheme="minorHAnsi"/>
          <w:bCs/>
        </w:rPr>
        <w:t xml:space="preserve">HTC </w:t>
      </w:r>
      <w:r w:rsidR="00113D15" w:rsidRPr="00C267C1">
        <w:rPr>
          <w:rFonts w:asciiTheme="minorHAnsi" w:hAnsiTheme="minorHAnsi" w:cstheme="minorHAnsi"/>
          <w:bCs/>
        </w:rPr>
        <w:t xml:space="preserve">developments that meet </w:t>
      </w:r>
      <w:r w:rsidR="003B47BB" w:rsidRPr="00C267C1">
        <w:rPr>
          <w:rFonts w:asciiTheme="minorHAnsi" w:hAnsiTheme="minorHAnsi" w:cstheme="minorHAnsi"/>
          <w:bCs/>
        </w:rPr>
        <w:t xml:space="preserve">HCDD </w:t>
      </w:r>
      <w:r w:rsidR="00C92E99" w:rsidRPr="00C267C1">
        <w:rPr>
          <w:rFonts w:asciiTheme="minorHAnsi" w:hAnsiTheme="minorHAnsi" w:cstheme="minorHAnsi"/>
          <w:bCs/>
        </w:rPr>
        <w:t xml:space="preserve">Multifamily </w:t>
      </w:r>
      <w:r w:rsidR="003B47BB" w:rsidRPr="00C267C1">
        <w:rPr>
          <w:rFonts w:asciiTheme="minorHAnsi" w:hAnsiTheme="minorHAnsi" w:cstheme="minorHAnsi"/>
          <w:bCs/>
        </w:rPr>
        <w:t xml:space="preserve">Priorities and </w:t>
      </w:r>
      <w:r w:rsidR="00113D15" w:rsidRPr="00C267C1">
        <w:rPr>
          <w:rFonts w:asciiTheme="minorHAnsi" w:hAnsiTheme="minorHAnsi" w:cstheme="minorHAnsi"/>
          <w:bCs/>
        </w:rPr>
        <w:t>Minimum S</w:t>
      </w:r>
      <w:r w:rsidRPr="00C267C1">
        <w:rPr>
          <w:rFonts w:asciiTheme="minorHAnsi" w:hAnsiTheme="minorHAnsi" w:cstheme="minorHAnsi"/>
          <w:bCs/>
        </w:rPr>
        <w:t xml:space="preserve">tandards.  </w:t>
      </w:r>
    </w:p>
    <w:p w14:paraId="64443039" w14:textId="77777777" w:rsidR="00FF5DB7" w:rsidRPr="00C267C1" w:rsidRDefault="00FF5DB7" w:rsidP="00FF5DB7">
      <w:pPr>
        <w:rPr>
          <w:rFonts w:asciiTheme="minorHAnsi" w:hAnsiTheme="minorHAnsi" w:cstheme="minorHAnsi"/>
          <w:b/>
          <w:bCs/>
        </w:rPr>
      </w:pPr>
    </w:p>
    <w:p w14:paraId="7FA4B16F" w14:textId="0D4C5D93" w:rsidR="00F76E98" w:rsidRPr="00C267C1" w:rsidRDefault="008312A3" w:rsidP="00113D15">
      <w:pPr>
        <w:jc w:val="center"/>
        <w:rPr>
          <w:rFonts w:asciiTheme="minorHAnsi" w:hAnsiTheme="minorHAnsi" w:cstheme="minorHAnsi"/>
          <w:b/>
          <w:bCs/>
          <w:u w:val="single"/>
        </w:rPr>
      </w:pPr>
      <w:r w:rsidRPr="00C267C1">
        <w:rPr>
          <w:rFonts w:asciiTheme="minorHAnsi" w:hAnsiTheme="minorHAnsi" w:cstheme="minorHAnsi"/>
          <w:b/>
          <w:bCs/>
          <w:u w:val="single"/>
        </w:rPr>
        <w:t xml:space="preserve">HCDD </w:t>
      </w:r>
      <w:r w:rsidRPr="00C267C1">
        <w:rPr>
          <w:rFonts w:asciiTheme="minorHAnsi" w:hAnsiTheme="minorHAnsi" w:cstheme="minorHAnsi"/>
          <w:b/>
          <w:u w:val="single"/>
        </w:rPr>
        <w:t>Multifamily</w:t>
      </w:r>
      <w:r w:rsidR="00F76E98" w:rsidRPr="00C267C1">
        <w:rPr>
          <w:rFonts w:asciiTheme="minorHAnsi" w:hAnsiTheme="minorHAnsi" w:cstheme="minorHAnsi"/>
          <w:b/>
          <w:u w:val="single"/>
        </w:rPr>
        <w:t xml:space="preserve"> Priorities</w:t>
      </w:r>
    </w:p>
    <w:p w14:paraId="5FEAB87E" w14:textId="77777777" w:rsidR="00113D15" w:rsidRPr="00C267C1" w:rsidRDefault="00113D15" w:rsidP="00AA217A">
      <w:pPr>
        <w:jc w:val="center"/>
        <w:rPr>
          <w:rFonts w:asciiTheme="minorHAnsi" w:hAnsiTheme="minorHAnsi" w:cstheme="minorHAnsi"/>
          <w:b/>
          <w:bCs/>
        </w:rPr>
      </w:pPr>
    </w:p>
    <w:p w14:paraId="62413982" w14:textId="5259A82B" w:rsidR="00462987" w:rsidRPr="00C267C1" w:rsidRDefault="00462987" w:rsidP="00462987">
      <w:pPr>
        <w:pStyle w:val="ListParagraph"/>
        <w:numPr>
          <w:ilvl w:val="0"/>
          <w:numId w:val="23"/>
        </w:numPr>
        <w:rPr>
          <w:rFonts w:asciiTheme="minorHAnsi" w:hAnsiTheme="minorHAnsi" w:cstheme="minorHAnsi"/>
        </w:rPr>
      </w:pPr>
      <w:bookmarkStart w:id="2" w:name="_Hlk496792285"/>
      <w:r w:rsidRPr="00C267C1">
        <w:rPr>
          <w:rFonts w:asciiTheme="minorHAnsi" w:hAnsiTheme="minorHAnsi" w:cstheme="minorHAnsi"/>
        </w:rPr>
        <w:t>Support the HCDD’s efforts to meet the unmet needs for public housing and affordable households outlined in the Needs Assessment and Local Action Plan for Disaster Recovery: Hurricane Harvey.</w:t>
      </w:r>
    </w:p>
    <w:p w14:paraId="59939AD7" w14:textId="022DCAD5" w:rsidR="00D806E4" w:rsidRPr="00C267C1" w:rsidRDefault="008312A3" w:rsidP="00CF0DA6">
      <w:pPr>
        <w:pStyle w:val="ListParagraph"/>
        <w:numPr>
          <w:ilvl w:val="0"/>
          <w:numId w:val="23"/>
        </w:numPr>
        <w:rPr>
          <w:rFonts w:asciiTheme="minorHAnsi" w:hAnsiTheme="minorHAnsi" w:cstheme="minorHAnsi"/>
        </w:rPr>
      </w:pPr>
      <w:bookmarkStart w:id="3" w:name="_Hlk524454991"/>
      <w:r w:rsidRPr="00C267C1">
        <w:rPr>
          <w:rFonts w:asciiTheme="minorHAnsi" w:hAnsiTheme="minorHAnsi" w:cstheme="minorHAnsi"/>
        </w:rPr>
        <w:t>Support r</w:t>
      </w:r>
      <w:r w:rsidR="00D806E4" w:rsidRPr="00C267C1">
        <w:rPr>
          <w:rFonts w:asciiTheme="minorHAnsi" w:hAnsiTheme="minorHAnsi" w:cstheme="minorHAnsi"/>
        </w:rPr>
        <w:t>ehabilitat</w:t>
      </w:r>
      <w:r w:rsidRPr="00C267C1">
        <w:rPr>
          <w:rFonts w:asciiTheme="minorHAnsi" w:hAnsiTheme="minorHAnsi" w:cstheme="minorHAnsi"/>
        </w:rPr>
        <w:t>ion</w:t>
      </w:r>
      <w:r w:rsidR="00D806E4" w:rsidRPr="00C267C1">
        <w:rPr>
          <w:rFonts w:asciiTheme="minorHAnsi" w:hAnsiTheme="minorHAnsi" w:cstheme="minorHAnsi"/>
        </w:rPr>
        <w:t xml:space="preserve"> </w:t>
      </w:r>
      <w:r w:rsidRPr="00C267C1">
        <w:rPr>
          <w:rFonts w:asciiTheme="minorHAnsi" w:hAnsiTheme="minorHAnsi" w:cstheme="minorHAnsi"/>
        </w:rPr>
        <w:t xml:space="preserve">and reconstruction activities for </w:t>
      </w:r>
      <w:r w:rsidR="00D806E4" w:rsidRPr="00C267C1">
        <w:rPr>
          <w:rFonts w:asciiTheme="minorHAnsi" w:hAnsiTheme="minorHAnsi" w:cstheme="minorHAnsi"/>
        </w:rPr>
        <w:t xml:space="preserve">damaged multifamily properties resulting from the storm’s impact </w:t>
      </w:r>
    </w:p>
    <w:bookmarkEnd w:id="3"/>
    <w:p w14:paraId="4001E83A" w14:textId="31CB0640" w:rsidR="00D806E4" w:rsidRPr="00C267C1" w:rsidRDefault="008312A3" w:rsidP="00CF0DA6">
      <w:pPr>
        <w:pStyle w:val="ListParagraph"/>
        <w:numPr>
          <w:ilvl w:val="0"/>
          <w:numId w:val="23"/>
        </w:numPr>
        <w:rPr>
          <w:rFonts w:asciiTheme="minorHAnsi" w:hAnsiTheme="minorHAnsi" w:cstheme="minorHAnsi"/>
        </w:rPr>
      </w:pPr>
      <w:r w:rsidRPr="00C267C1">
        <w:rPr>
          <w:rFonts w:asciiTheme="minorHAnsi" w:hAnsiTheme="minorHAnsi" w:cstheme="minorHAnsi"/>
        </w:rPr>
        <w:t>Support</w:t>
      </w:r>
      <w:r w:rsidR="00D806E4" w:rsidRPr="00C267C1">
        <w:rPr>
          <w:rFonts w:asciiTheme="minorHAnsi" w:hAnsiTheme="minorHAnsi" w:cstheme="minorHAnsi"/>
        </w:rPr>
        <w:t xml:space="preserve"> new construction within the following areas that promote higher standards of environmental and economic resiliency:</w:t>
      </w:r>
    </w:p>
    <w:p w14:paraId="2478D238" w14:textId="5F7225D3" w:rsidR="00D806E4" w:rsidRPr="00C267C1" w:rsidRDefault="00D806E4" w:rsidP="00AA217A">
      <w:pPr>
        <w:pStyle w:val="ListParagraph"/>
        <w:numPr>
          <w:ilvl w:val="2"/>
          <w:numId w:val="5"/>
        </w:numPr>
        <w:rPr>
          <w:rFonts w:asciiTheme="minorHAnsi" w:hAnsiTheme="minorHAnsi" w:cstheme="minorHAnsi"/>
        </w:rPr>
      </w:pPr>
      <w:r w:rsidRPr="00C267C1">
        <w:rPr>
          <w:rFonts w:asciiTheme="minorHAnsi" w:hAnsiTheme="minorHAnsi" w:cstheme="minorHAnsi"/>
        </w:rPr>
        <w:t xml:space="preserve">Complete Communities and other </w:t>
      </w:r>
      <w:r w:rsidR="00926ABE" w:rsidRPr="00C267C1">
        <w:rPr>
          <w:rFonts w:asciiTheme="minorHAnsi" w:hAnsiTheme="minorHAnsi" w:cstheme="minorHAnsi"/>
        </w:rPr>
        <w:t>Concerted Revitalization Areas (</w:t>
      </w:r>
      <w:r w:rsidRPr="00C267C1">
        <w:rPr>
          <w:rFonts w:asciiTheme="minorHAnsi" w:hAnsiTheme="minorHAnsi" w:cstheme="minorHAnsi"/>
        </w:rPr>
        <w:t>CRA’s</w:t>
      </w:r>
      <w:r w:rsidR="00926ABE" w:rsidRPr="00C267C1">
        <w:rPr>
          <w:rFonts w:asciiTheme="minorHAnsi" w:hAnsiTheme="minorHAnsi" w:cstheme="minorHAnsi"/>
        </w:rPr>
        <w:t>)</w:t>
      </w:r>
      <w:r w:rsidRPr="00C267C1">
        <w:rPr>
          <w:rFonts w:asciiTheme="minorHAnsi" w:hAnsiTheme="minorHAnsi" w:cstheme="minorHAnsi"/>
        </w:rPr>
        <w:t xml:space="preserve"> </w:t>
      </w:r>
    </w:p>
    <w:p w14:paraId="4A2570F4" w14:textId="376CCDB5" w:rsidR="00D806E4" w:rsidRPr="00C267C1" w:rsidRDefault="00D806E4" w:rsidP="00AA217A">
      <w:pPr>
        <w:pStyle w:val="ListParagraph"/>
        <w:numPr>
          <w:ilvl w:val="2"/>
          <w:numId w:val="5"/>
        </w:numPr>
        <w:rPr>
          <w:rFonts w:asciiTheme="minorHAnsi" w:hAnsiTheme="minorHAnsi" w:cstheme="minorHAnsi"/>
        </w:rPr>
      </w:pPr>
      <w:r w:rsidRPr="00C267C1">
        <w:rPr>
          <w:rFonts w:asciiTheme="minorHAnsi" w:hAnsiTheme="minorHAnsi" w:cstheme="minorHAnsi"/>
        </w:rPr>
        <w:t xml:space="preserve">Areas of low poverty concentrations and high performing schools </w:t>
      </w:r>
    </w:p>
    <w:p w14:paraId="196B2CD7" w14:textId="33F1B10B" w:rsidR="00D806E4" w:rsidRPr="00C267C1" w:rsidRDefault="00D806E4" w:rsidP="00D806E4">
      <w:pPr>
        <w:pStyle w:val="ListParagraph"/>
        <w:numPr>
          <w:ilvl w:val="2"/>
          <w:numId w:val="5"/>
        </w:numPr>
        <w:rPr>
          <w:rFonts w:asciiTheme="minorHAnsi" w:hAnsiTheme="minorHAnsi" w:cstheme="minorHAnsi"/>
        </w:rPr>
      </w:pPr>
      <w:bookmarkStart w:id="4" w:name="_Hlk496883859"/>
      <w:r w:rsidRPr="00C267C1">
        <w:rPr>
          <w:rFonts w:asciiTheme="minorHAnsi" w:hAnsiTheme="minorHAnsi" w:cstheme="minorHAnsi"/>
        </w:rPr>
        <w:t>Areas experiencing high rental costs that cause displacement of LMI households</w:t>
      </w:r>
    </w:p>
    <w:p w14:paraId="3FA3F2AC" w14:textId="361F8070" w:rsidR="00D806E4" w:rsidRPr="00C267C1" w:rsidRDefault="00D806E4" w:rsidP="00D806E4">
      <w:pPr>
        <w:pStyle w:val="ListParagraph"/>
        <w:numPr>
          <w:ilvl w:val="2"/>
          <w:numId w:val="5"/>
        </w:numPr>
        <w:contextualSpacing/>
        <w:rPr>
          <w:rFonts w:asciiTheme="minorHAnsi" w:hAnsiTheme="minorHAnsi" w:cstheme="minorHAnsi"/>
        </w:rPr>
      </w:pPr>
      <w:r w:rsidRPr="00C267C1">
        <w:rPr>
          <w:rFonts w:asciiTheme="minorHAnsi" w:hAnsiTheme="minorHAnsi" w:cstheme="minorHAnsi"/>
        </w:rPr>
        <w:t>Transit Oriented Developments (TOD’s) that promote access to mass transportations options</w:t>
      </w:r>
    </w:p>
    <w:p w14:paraId="718F078D" w14:textId="183EA1B9" w:rsidR="00D133EE" w:rsidRPr="00C267C1" w:rsidRDefault="00D133EE" w:rsidP="00D806E4">
      <w:pPr>
        <w:pStyle w:val="ListParagraph"/>
        <w:numPr>
          <w:ilvl w:val="2"/>
          <w:numId w:val="5"/>
        </w:numPr>
        <w:contextualSpacing/>
        <w:rPr>
          <w:rFonts w:asciiTheme="minorHAnsi" w:hAnsiTheme="minorHAnsi" w:cstheme="minorHAnsi"/>
        </w:rPr>
      </w:pPr>
      <w:r w:rsidRPr="00C267C1">
        <w:rPr>
          <w:rFonts w:asciiTheme="minorHAnsi" w:hAnsiTheme="minorHAnsi" w:cstheme="minorHAnsi"/>
        </w:rPr>
        <w:t xml:space="preserve">Areas underserved with affordable housing options </w:t>
      </w:r>
    </w:p>
    <w:p w14:paraId="52A89BE6" w14:textId="40E14766" w:rsidR="00AA217A" w:rsidRPr="00C267C1" w:rsidRDefault="008312A3" w:rsidP="00CC2B8A">
      <w:pPr>
        <w:pStyle w:val="ListParagraph"/>
        <w:numPr>
          <w:ilvl w:val="0"/>
          <w:numId w:val="21"/>
        </w:numPr>
        <w:rPr>
          <w:rFonts w:asciiTheme="minorHAnsi" w:hAnsiTheme="minorHAnsi" w:cstheme="minorHAnsi"/>
          <w:b/>
          <w:bCs/>
        </w:rPr>
      </w:pPr>
      <w:r w:rsidRPr="00C267C1">
        <w:rPr>
          <w:rFonts w:asciiTheme="minorHAnsi" w:hAnsiTheme="minorHAnsi" w:cstheme="minorHAnsi"/>
        </w:rPr>
        <w:t>Support p</w:t>
      </w:r>
      <w:r w:rsidR="00D806E4" w:rsidRPr="00C267C1">
        <w:rPr>
          <w:rFonts w:asciiTheme="minorHAnsi" w:hAnsiTheme="minorHAnsi" w:cstheme="minorHAnsi"/>
        </w:rPr>
        <w:t xml:space="preserve">urchase of existing quality multifamily housing and converting into affordable housing or preserving existing affordable housing stock </w:t>
      </w:r>
      <w:bookmarkEnd w:id="4"/>
      <w:r w:rsidRPr="00C267C1">
        <w:rPr>
          <w:rFonts w:asciiTheme="minorHAnsi" w:hAnsiTheme="minorHAnsi" w:cstheme="minorHAnsi"/>
        </w:rPr>
        <w:t>Support p</w:t>
      </w:r>
      <w:r w:rsidR="00D806E4" w:rsidRPr="00C267C1">
        <w:rPr>
          <w:rFonts w:asciiTheme="minorHAnsi" w:hAnsiTheme="minorHAnsi" w:cstheme="minorHAnsi"/>
        </w:rPr>
        <w:t xml:space="preserve">ermanent </w:t>
      </w:r>
      <w:r w:rsidRPr="00C267C1">
        <w:rPr>
          <w:rFonts w:asciiTheme="minorHAnsi" w:hAnsiTheme="minorHAnsi" w:cstheme="minorHAnsi"/>
        </w:rPr>
        <w:t>s</w:t>
      </w:r>
      <w:r w:rsidR="00D806E4" w:rsidRPr="00C267C1">
        <w:rPr>
          <w:rFonts w:asciiTheme="minorHAnsi" w:hAnsiTheme="minorHAnsi" w:cstheme="minorHAnsi"/>
        </w:rPr>
        <w:t xml:space="preserve">upportive </w:t>
      </w:r>
      <w:r w:rsidRPr="00C267C1">
        <w:rPr>
          <w:rFonts w:asciiTheme="minorHAnsi" w:hAnsiTheme="minorHAnsi" w:cstheme="minorHAnsi"/>
        </w:rPr>
        <w:t>h</w:t>
      </w:r>
      <w:r w:rsidR="00D806E4" w:rsidRPr="00C267C1">
        <w:rPr>
          <w:rFonts w:asciiTheme="minorHAnsi" w:hAnsiTheme="minorHAnsi" w:cstheme="minorHAnsi"/>
        </w:rPr>
        <w:t>ousing and/or housing serving special needs populations</w:t>
      </w:r>
      <w:bookmarkEnd w:id="2"/>
    </w:p>
    <w:p w14:paraId="3530FE8F" w14:textId="77777777" w:rsidR="00CC2B8A" w:rsidRPr="00C267C1" w:rsidRDefault="00CC2B8A" w:rsidP="00FF5DB7">
      <w:pPr>
        <w:jc w:val="center"/>
        <w:rPr>
          <w:rFonts w:asciiTheme="minorHAnsi" w:hAnsiTheme="minorHAnsi" w:cstheme="minorHAnsi"/>
          <w:bCs/>
          <w:u w:val="single"/>
        </w:rPr>
      </w:pPr>
    </w:p>
    <w:p w14:paraId="37320738" w14:textId="6EF48220" w:rsidR="00FF5DB7" w:rsidRPr="00C267C1" w:rsidRDefault="00A34192" w:rsidP="00FF5DB7">
      <w:pPr>
        <w:jc w:val="center"/>
        <w:rPr>
          <w:rFonts w:asciiTheme="minorHAnsi" w:hAnsiTheme="minorHAnsi" w:cstheme="minorHAnsi"/>
          <w:b/>
          <w:bCs/>
          <w:u w:val="single"/>
        </w:rPr>
      </w:pPr>
      <w:r w:rsidRPr="00C267C1">
        <w:rPr>
          <w:rFonts w:asciiTheme="minorHAnsi" w:hAnsiTheme="minorHAnsi" w:cstheme="minorHAnsi"/>
          <w:b/>
          <w:bCs/>
          <w:u w:val="single"/>
        </w:rPr>
        <w:t>Minimum Standards</w:t>
      </w:r>
    </w:p>
    <w:p w14:paraId="154BAEE3" w14:textId="77777777" w:rsidR="00FF5DB7" w:rsidRPr="00C267C1" w:rsidRDefault="00FF5DB7" w:rsidP="00FF5DB7">
      <w:pPr>
        <w:rPr>
          <w:rFonts w:asciiTheme="minorHAnsi" w:hAnsiTheme="minorHAnsi" w:cstheme="minorHAnsi"/>
        </w:rPr>
      </w:pPr>
    </w:p>
    <w:p w14:paraId="1380EF24" w14:textId="6D07C01C" w:rsidR="00A4446C" w:rsidRPr="00C267C1" w:rsidRDefault="00741C7F" w:rsidP="00FF5DB7">
      <w:pPr>
        <w:rPr>
          <w:rFonts w:asciiTheme="minorHAnsi" w:hAnsiTheme="minorHAnsi" w:cstheme="minorHAnsi"/>
        </w:rPr>
      </w:pPr>
      <w:r w:rsidRPr="00C267C1">
        <w:rPr>
          <w:rFonts w:asciiTheme="minorHAnsi" w:hAnsiTheme="minorHAnsi" w:cstheme="minorHAnsi"/>
        </w:rPr>
        <w:t xml:space="preserve">HCDD </w:t>
      </w:r>
      <w:r w:rsidR="00995E38" w:rsidRPr="00C267C1">
        <w:rPr>
          <w:rFonts w:asciiTheme="minorHAnsi" w:hAnsiTheme="minorHAnsi" w:cstheme="minorHAnsi"/>
        </w:rPr>
        <w:t>h</w:t>
      </w:r>
      <w:r w:rsidR="007A7735" w:rsidRPr="00C267C1">
        <w:rPr>
          <w:rFonts w:asciiTheme="minorHAnsi" w:hAnsiTheme="minorHAnsi" w:cstheme="minorHAnsi"/>
        </w:rPr>
        <w:t xml:space="preserve">as financed </w:t>
      </w:r>
      <w:r w:rsidRPr="00C267C1">
        <w:rPr>
          <w:rFonts w:asciiTheme="minorHAnsi" w:hAnsiTheme="minorHAnsi" w:cstheme="minorHAnsi"/>
        </w:rPr>
        <w:t>affordable multifamily development</w:t>
      </w:r>
      <w:r w:rsidR="007A7735" w:rsidRPr="00C267C1">
        <w:rPr>
          <w:rFonts w:asciiTheme="minorHAnsi" w:hAnsiTheme="minorHAnsi" w:cstheme="minorHAnsi"/>
        </w:rPr>
        <w:t xml:space="preserve">s levered </w:t>
      </w:r>
      <w:r w:rsidRPr="00C267C1">
        <w:rPr>
          <w:rFonts w:asciiTheme="minorHAnsi" w:hAnsiTheme="minorHAnsi" w:cstheme="minorHAnsi"/>
        </w:rPr>
        <w:t>with other capital sources, primarily</w:t>
      </w:r>
      <w:r w:rsidR="00537401" w:rsidRPr="00C267C1">
        <w:rPr>
          <w:rFonts w:asciiTheme="minorHAnsi" w:hAnsiTheme="minorHAnsi" w:cstheme="minorHAnsi"/>
        </w:rPr>
        <w:t xml:space="preserve"> </w:t>
      </w:r>
      <w:r w:rsidRPr="00C267C1">
        <w:rPr>
          <w:rFonts w:asciiTheme="minorHAnsi" w:hAnsiTheme="minorHAnsi" w:cstheme="minorHAnsi"/>
        </w:rPr>
        <w:t>HTCs.  The rules and qualifications f</w:t>
      </w:r>
      <w:r w:rsidR="00C513EF" w:rsidRPr="00C267C1">
        <w:rPr>
          <w:rFonts w:asciiTheme="minorHAnsi" w:hAnsiTheme="minorHAnsi" w:cstheme="minorHAnsi"/>
        </w:rPr>
        <w:t xml:space="preserve">or </w:t>
      </w:r>
      <w:r w:rsidRPr="00C267C1">
        <w:rPr>
          <w:rFonts w:asciiTheme="minorHAnsi" w:hAnsiTheme="minorHAnsi" w:cstheme="minorHAnsi"/>
        </w:rPr>
        <w:t>HTC are governed by the Texas Department of Housing and Community Affairs (“TDHCA</w:t>
      </w:r>
      <w:r w:rsidR="007A7735" w:rsidRPr="00C267C1">
        <w:rPr>
          <w:rFonts w:asciiTheme="minorHAnsi" w:hAnsiTheme="minorHAnsi" w:cstheme="minorHAnsi"/>
        </w:rPr>
        <w:t>”</w:t>
      </w:r>
      <w:r w:rsidRPr="00C267C1">
        <w:rPr>
          <w:rFonts w:asciiTheme="minorHAnsi" w:eastAsia="Segoe UI Emoji" w:hAnsiTheme="minorHAnsi" w:cstheme="minorHAnsi"/>
        </w:rPr>
        <w:t xml:space="preserve">) within the </w:t>
      </w:r>
      <w:r w:rsidRPr="00C267C1">
        <w:rPr>
          <w:rFonts w:asciiTheme="minorHAnsi" w:hAnsiTheme="minorHAnsi" w:cstheme="minorHAnsi"/>
        </w:rPr>
        <w:t>Uniform Multifamily Rules TAC Chapter 10</w:t>
      </w:r>
      <w:r w:rsidR="00271325" w:rsidRPr="00C267C1">
        <w:rPr>
          <w:rFonts w:asciiTheme="minorHAnsi" w:hAnsiTheme="minorHAnsi" w:cstheme="minorHAnsi"/>
        </w:rPr>
        <w:t xml:space="preserve"> (“Multifamily Rules”)</w:t>
      </w:r>
      <w:r w:rsidRPr="00C267C1">
        <w:rPr>
          <w:rFonts w:asciiTheme="minorHAnsi" w:hAnsiTheme="minorHAnsi" w:cstheme="minorHAnsi"/>
        </w:rPr>
        <w:t xml:space="preserve"> and </w:t>
      </w:r>
      <w:r w:rsidR="00271325" w:rsidRPr="00C267C1">
        <w:rPr>
          <w:rFonts w:asciiTheme="minorHAnsi" w:hAnsiTheme="minorHAnsi" w:cstheme="minorHAnsi"/>
        </w:rPr>
        <w:t>H</w:t>
      </w:r>
      <w:r w:rsidRPr="00C267C1">
        <w:rPr>
          <w:rFonts w:asciiTheme="minorHAnsi" w:hAnsiTheme="minorHAnsi" w:cstheme="minorHAnsi"/>
        </w:rPr>
        <w:t>ousing Tax Credit Program Qualified Allocation Plan</w:t>
      </w:r>
      <w:r w:rsidR="00271325" w:rsidRPr="00C267C1">
        <w:rPr>
          <w:rFonts w:asciiTheme="minorHAnsi" w:hAnsiTheme="minorHAnsi" w:cstheme="minorHAnsi"/>
        </w:rPr>
        <w:t xml:space="preserve"> Chapter 11 (“QAP”)</w:t>
      </w:r>
      <w:r w:rsidRPr="00C267C1">
        <w:rPr>
          <w:rFonts w:asciiTheme="minorHAnsi" w:hAnsiTheme="minorHAnsi" w:cstheme="minorHAnsi"/>
        </w:rPr>
        <w:t>. The</w:t>
      </w:r>
      <w:r w:rsidR="00F76E98" w:rsidRPr="00C267C1">
        <w:rPr>
          <w:rFonts w:asciiTheme="minorHAnsi" w:hAnsiTheme="minorHAnsi" w:cstheme="minorHAnsi"/>
        </w:rPr>
        <w:t xml:space="preserve"> Multifamily Rules and QAP</w:t>
      </w:r>
      <w:r w:rsidRPr="00C267C1">
        <w:rPr>
          <w:rFonts w:asciiTheme="minorHAnsi" w:hAnsiTheme="minorHAnsi" w:cstheme="minorHAnsi"/>
        </w:rPr>
        <w:t xml:space="preserve"> identify minimum qualifications and threshold</w:t>
      </w:r>
      <w:r w:rsidR="007333BB" w:rsidRPr="00C267C1">
        <w:rPr>
          <w:rFonts w:asciiTheme="minorHAnsi" w:hAnsiTheme="minorHAnsi" w:cstheme="minorHAnsi"/>
        </w:rPr>
        <w:t xml:space="preserve"> requirement</w:t>
      </w:r>
      <w:r w:rsidRPr="00C267C1">
        <w:rPr>
          <w:rFonts w:asciiTheme="minorHAnsi" w:hAnsiTheme="minorHAnsi" w:cstheme="minorHAnsi"/>
        </w:rPr>
        <w:t xml:space="preserve">s for site and neighborhood characteristics outlining </w:t>
      </w:r>
      <w:r w:rsidR="00FF534D" w:rsidRPr="00C267C1">
        <w:rPr>
          <w:rFonts w:asciiTheme="minorHAnsi" w:hAnsiTheme="minorHAnsi" w:cstheme="minorHAnsi"/>
        </w:rPr>
        <w:t xml:space="preserve">a variety of </w:t>
      </w:r>
      <w:r w:rsidR="00823114" w:rsidRPr="00C267C1">
        <w:rPr>
          <w:rFonts w:asciiTheme="minorHAnsi" w:hAnsiTheme="minorHAnsi" w:cstheme="minorHAnsi"/>
        </w:rPr>
        <w:t xml:space="preserve">standards </w:t>
      </w:r>
      <w:r w:rsidRPr="00C267C1">
        <w:rPr>
          <w:rFonts w:asciiTheme="minorHAnsi" w:hAnsiTheme="minorHAnsi" w:cstheme="minorHAnsi"/>
        </w:rPr>
        <w:t xml:space="preserve">including environmental hazards, </w:t>
      </w:r>
      <w:r w:rsidR="00271325" w:rsidRPr="00C267C1">
        <w:rPr>
          <w:rFonts w:asciiTheme="minorHAnsi" w:hAnsiTheme="minorHAnsi" w:cstheme="minorHAnsi"/>
        </w:rPr>
        <w:t>nuisances</w:t>
      </w:r>
      <w:r w:rsidRPr="00C267C1">
        <w:rPr>
          <w:rFonts w:asciiTheme="minorHAnsi" w:hAnsiTheme="minorHAnsi" w:cstheme="minorHAnsi"/>
        </w:rPr>
        <w:t>, poverty concentration,</w:t>
      </w:r>
      <w:r w:rsidR="00113D15" w:rsidRPr="00C267C1">
        <w:rPr>
          <w:rFonts w:asciiTheme="minorHAnsi" w:hAnsiTheme="minorHAnsi" w:cstheme="minorHAnsi"/>
        </w:rPr>
        <w:t xml:space="preserve"> blight, school performance and other impacts</w:t>
      </w:r>
      <w:r w:rsidRPr="00C267C1">
        <w:rPr>
          <w:rFonts w:asciiTheme="minorHAnsi" w:hAnsiTheme="minorHAnsi" w:cstheme="minorHAnsi"/>
        </w:rPr>
        <w:t xml:space="preserve">. </w:t>
      </w:r>
      <w:r w:rsidR="00CA1765" w:rsidRPr="00C267C1">
        <w:rPr>
          <w:rFonts w:asciiTheme="minorHAnsi" w:hAnsiTheme="minorHAnsi" w:cstheme="minorHAnsi"/>
        </w:rPr>
        <w:t xml:space="preserve">The Multifamily Rules and QAP also outline cost guidelines for HTC developments. HCDD </w:t>
      </w:r>
      <w:r w:rsidR="00660016" w:rsidRPr="00C267C1">
        <w:rPr>
          <w:rFonts w:asciiTheme="minorHAnsi" w:hAnsiTheme="minorHAnsi" w:cstheme="minorHAnsi"/>
        </w:rPr>
        <w:t xml:space="preserve">may consider cost as a factor when deciding whether to issue a </w:t>
      </w:r>
      <w:r w:rsidR="00CA1765" w:rsidRPr="00C267C1">
        <w:rPr>
          <w:rFonts w:asciiTheme="minorHAnsi" w:hAnsiTheme="minorHAnsi" w:cstheme="minorHAnsi"/>
        </w:rPr>
        <w:t xml:space="preserve">resolution of support or </w:t>
      </w:r>
      <w:r w:rsidR="00660016" w:rsidRPr="00C267C1">
        <w:rPr>
          <w:rFonts w:asciiTheme="minorHAnsi" w:hAnsiTheme="minorHAnsi" w:cstheme="minorHAnsi"/>
        </w:rPr>
        <w:t>n</w:t>
      </w:r>
      <w:r w:rsidR="00CA1765" w:rsidRPr="00C267C1">
        <w:rPr>
          <w:rFonts w:asciiTheme="minorHAnsi" w:hAnsiTheme="minorHAnsi" w:cstheme="minorHAnsi"/>
        </w:rPr>
        <w:t xml:space="preserve">o </w:t>
      </w:r>
      <w:r w:rsidR="00660016" w:rsidRPr="00C267C1">
        <w:rPr>
          <w:rFonts w:asciiTheme="minorHAnsi" w:hAnsiTheme="minorHAnsi" w:cstheme="minorHAnsi"/>
        </w:rPr>
        <w:t>o</w:t>
      </w:r>
      <w:r w:rsidR="00CA1765" w:rsidRPr="00C267C1">
        <w:rPr>
          <w:rFonts w:asciiTheme="minorHAnsi" w:hAnsiTheme="minorHAnsi" w:cstheme="minorHAnsi"/>
        </w:rPr>
        <w:t>bjection</w:t>
      </w:r>
      <w:r w:rsidR="00660016" w:rsidRPr="00C267C1">
        <w:rPr>
          <w:rFonts w:asciiTheme="minorHAnsi" w:hAnsiTheme="minorHAnsi" w:cstheme="minorHAnsi"/>
        </w:rPr>
        <w:t xml:space="preserve">; however, </w:t>
      </w:r>
      <w:r w:rsidR="00CA1765" w:rsidRPr="00C267C1">
        <w:rPr>
          <w:rFonts w:asciiTheme="minorHAnsi" w:hAnsiTheme="minorHAnsi" w:cstheme="minorHAnsi"/>
        </w:rPr>
        <w:t>HCDD will not underwrite development costs for transaction</w:t>
      </w:r>
      <w:r w:rsidR="00660016" w:rsidRPr="00C267C1">
        <w:rPr>
          <w:rFonts w:asciiTheme="minorHAnsi" w:hAnsiTheme="minorHAnsi" w:cstheme="minorHAnsi"/>
        </w:rPr>
        <w:t>s</w:t>
      </w:r>
      <w:r w:rsidR="00CA1765" w:rsidRPr="00C267C1">
        <w:rPr>
          <w:rFonts w:asciiTheme="minorHAnsi" w:hAnsiTheme="minorHAnsi" w:cstheme="minorHAnsi"/>
        </w:rPr>
        <w:t xml:space="preserve"> not financed by HCDD.  </w:t>
      </w:r>
    </w:p>
    <w:p w14:paraId="54630627" w14:textId="77777777" w:rsidR="00741C7F" w:rsidRPr="00C267C1" w:rsidRDefault="00741C7F" w:rsidP="00FF5DB7">
      <w:pPr>
        <w:rPr>
          <w:rFonts w:asciiTheme="minorHAnsi" w:hAnsiTheme="minorHAnsi" w:cstheme="minorHAnsi"/>
        </w:rPr>
      </w:pPr>
    </w:p>
    <w:p w14:paraId="24FFFD5C" w14:textId="0F37DA3F" w:rsidR="00D1017A" w:rsidRPr="00C267C1" w:rsidRDefault="00741C7F" w:rsidP="00D1017A">
      <w:pPr>
        <w:rPr>
          <w:rFonts w:asciiTheme="minorHAnsi" w:hAnsiTheme="minorHAnsi" w:cstheme="minorHAnsi"/>
        </w:rPr>
      </w:pPr>
      <w:r w:rsidRPr="00C267C1">
        <w:rPr>
          <w:rFonts w:asciiTheme="minorHAnsi" w:hAnsiTheme="minorHAnsi" w:cstheme="minorHAnsi"/>
        </w:rPr>
        <w:lastRenderedPageBreak/>
        <w:t>To the extent</w:t>
      </w:r>
      <w:r w:rsidR="00271325" w:rsidRPr="00C267C1">
        <w:rPr>
          <w:rFonts w:asciiTheme="minorHAnsi" w:hAnsiTheme="minorHAnsi" w:cstheme="minorHAnsi"/>
        </w:rPr>
        <w:t xml:space="preserve"> </w:t>
      </w:r>
      <w:r w:rsidR="00CF0DA6" w:rsidRPr="00C267C1">
        <w:rPr>
          <w:rFonts w:asciiTheme="minorHAnsi" w:hAnsiTheme="minorHAnsi" w:cstheme="minorHAnsi"/>
        </w:rPr>
        <w:t>HCDD</w:t>
      </w:r>
      <w:r w:rsidR="00271325" w:rsidRPr="00C267C1">
        <w:rPr>
          <w:rFonts w:asciiTheme="minorHAnsi" w:hAnsiTheme="minorHAnsi" w:cstheme="minorHAnsi"/>
        </w:rPr>
        <w:t xml:space="preserve"> </w:t>
      </w:r>
      <w:r w:rsidR="000F6DB0" w:rsidRPr="00C267C1">
        <w:rPr>
          <w:rFonts w:asciiTheme="minorHAnsi" w:hAnsiTheme="minorHAnsi" w:cstheme="minorHAnsi"/>
        </w:rPr>
        <w:t>issues Resolutions</w:t>
      </w:r>
      <w:r w:rsidR="00271325" w:rsidRPr="00C267C1">
        <w:rPr>
          <w:rFonts w:asciiTheme="minorHAnsi" w:hAnsiTheme="minorHAnsi" w:cstheme="minorHAnsi"/>
        </w:rPr>
        <w:t xml:space="preserve"> of Support or</w:t>
      </w:r>
      <w:r w:rsidR="00FF534D" w:rsidRPr="00C267C1">
        <w:rPr>
          <w:rFonts w:asciiTheme="minorHAnsi" w:hAnsiTheme="minorHAnsi" w:cstheme="minorHAnsi"/>
        </w:rPr>
        <w:t xml:space="preserve"> </w:t>
      </w:r>
      <w:r w:rsidR="00F76E98" w:rsidRPr="00C267C1">
        <w:rPr>
          <w:rFonts w:asciiTheme="minorHAnsi" w:hAnsiTheme="minorHAnsi" w:cstheme="minorHAnsi"/>
        </w:rPr>
        <w:t>Resolutions of</w:t>
      </w:r>
      <w:r w:rsidR="00271325" w:rsidRPr="00C267C1">
        <w:rPr>
          <w:rFonts w:asciiTheme="minorHAnsi" w:hAnsiTheme="minorHAnsi" w:cstheme="minorHAnsi"/>
        </w:rPr>
        <w:t xml:space="preserve"> No Objection</w:t>
      </w:r>
      <w:r w:rsidR="00D1017A" w:rsidRPr="00C267C1">
        <w:rPr>
          <w:rFonts w:asciiTheme="minorHAnsi" w:hAnsiTheme="minorHAnsi" w:cstheme="minorHAnsi"/>
        </w:rPr>
        <w:t xml:space="preserve"> that are financed by HTC’s</w:t>
      </w:r>
      <w:r w:rsidR="00271325" w:rsidRPr="00C267C1">
        <w:rPr>
          <w:rFonts w:asciiTheme="minorHAnsi" w:hAnsiTheme="minorHAnsi" w:cstheme="minorHAnsi"/>
        </w:rPr>
        <w:t>, the</w:t>
      </w:r>
      <w:r w:rsidR="00FF534D" w:rsidRPr="00C267C1">
        <w:rPr>
          <w:rFonts w:asciiTheme="minorHAnsi" w:hAnsiTheme="minorHAnsi" w:cstheme="minorHAnsi"/>
        </w:rPr>
        <w:t xml:space="preserve"> TDHCA </w:t>
      </w:r>
      <w:r w:rsidR="00271325" w:rsidRPr="00C267C1">
        <w:rPr>
          <w:rFonts w:asciiTheme="minorHAnsi" w:hAnsiTheme="minorHAnsi" w:cstheme="minorHAnsi"/>
        </w:rPr>
        <w:t>site and neighborhood qualifications and thresholds will be met</w:t>
      </w:r>
      <w:r w:rsidR="00CC262D" w:rsidRPr="00C267C1">
        <w:rPr>
          <w:rFonts w:asciiTheme="minorHAnsi" w:hAnsiTheme="minorHAnsi" w:cstheme="minorHAnsi"/>
        </w:rPr>
        <w:t xml:space="preserve"> (any negative characteristics to be adequately mitigated to the TDHCA’s satisfaction)</w:t>
      </w:r>
      <w:r w:rsidR="00271325" w:rsidRPr="00C267C1">
        <w:rPr>
          <w:rFonts w:asciiTheme="minorHAnsi" w:hAnsiTheme="minorHAnsi" w:cstheme="minorHAnsi"/>
        </w:rPr>
        <w:t xml:space="preserve">. </w:t>
      </w:r>
      <w:r w:rsidR="00D1017A" w:rsidRPr="00C267C1">
        <w:rPr>
          <w:rFonts w:asciiTheme="minorHAnsi" w:hAnsiTheme="minorHAnsi" w:cstheme="minorHAnsi"/>
        </w:rPr>
        <w:t>HCDD will impose additional site and neighborhood qualifications and threshold</w:t>
      </w:r>
      <w:r w:rsidR="007333BB" w:rsidRPr="00C267C1">
        <w:rPr>
          <w:rFonts w:asciiTheme="minorHAnsi" w:hAnsiTheme="minorHAnsi" w:cstheme="minorHAnsi"/>
        </w:rPr>
        <w:t xml:space="preserve"> requirement</w:t>
      </w:r>
      <w:r w:rsidR="00827225" w:rsidRPr="00C267C1">
        <w:rPr>
          <w:rFonts w:asciiTheme="minorHAnsi" w:hAnsiTheme="minorHAnsi" w:cstheme="minorHAnsi"/>
        </w:rPr>
        <w:t>s</w:t>
      </w:r>
      <w:r w:rsidR="007333BB" w:rsidRPr="00C267C1">
        <w:rPr>
          <w:rFonts w:asciiTheme="minorHAnsi" w:hAnsiTheme="minorHAnsi" w:cstheme="minorHAnsi"/>
        </w:rPr>
        <w:t xml:space="preserve"> in addition to tho</w:t>
      </w:r>
      <w:r w:rsidR="00D1017A" w:rsidRPr="00C267C1">
        <w:rPr>
          <w:rFonts w:asciiTheme="minorHAnsi" w:hAnsiTheme="minorHAnsi" w:cstheme="minorHAnsi"/>
        </w:rPr>
        <w:t>s</w:t>
      </w:r>
      <w:r w:rsidR="00AF7B98" w:rsidRPr="00C267C1">
        <w:rPr>
          <w:rFonts w:asciiTheme="minorHAnsi" w:hAnsiTheme="minorHAnsi" w:cstheme="minorHAnsi"/>
        </w:rPr>
        <w:t>e</w:t>
      </w:r>
      <w:r w:rsidR="00D1017A" w:rsidRPr="00C267C1">
        <w:rPr>
          <w:rFonts w:asciiTheme="minorHAnsi" w:hAnsiTheme="minorHAnsi" w:cstheme="minorHAnsi"/>
        </w:rPr>
        <w:t xml:space="preserve"> not outlined within the Multifamily Rules or QAP</w:t>
      </w:r>
      <w:r w:rsidR="00CC262D" w:rsidRPr="00C267C1">
        <w:rPr>
          <w:rFonts w:asciiTheme="minorHAnsi" w:hAnsiTheme="minorHAnsi" w:cstheme="minorHAnsi"/>
        </w:rPr>
        <w:t xml:space="preserve"> subject to the </w:t>
      </w:r>
      <w:r w:rsidR="00D1017A" w:rsidRPr="00C267C1">
        <w:rPr>
          <w:rFonts w:asciiTheme="minorHAnsi" w:hAnsiTheme="minorHAnsi" w:cstheme="minorHAnsi"/>
        </w:rPr>
        <w:t>following</w:t>
      </w:r>
      <w:r w:rsidR="00D14534" w:rsidRPr="00C267C1">
        <w:rPr>
          <w:rFonts w:asciiTheme="minorHAnsi" w:hAnsiTheme="minorHAnsi" w:cstheme="minorHAnsi"/>
        </w:rPr>
        <w:t xml:space="preserve"> conditions</w:t>
      </w:r>
      <w:r w:rsidR="00D1017A" w:rsidRPr="00C267C1">
        <w:rPr>
          <w:rFonts w:asciiTheme="minorHAnsi" w:hAnsiTheme="minorHAnsi" w:cstheme="minorHAnsi"/>
        </w:rPr>
        <w:t>. These</w:t>
      </w:r>
      <w:r w:rsidR="00FF534D" w:rsidRPr="00C267C1">
        <w:rPr>
          <w:rFonts w:asciiTheme="minorHAnsi" w:hAnsiTheme="minorHAnsi" w:cstheme="minorHAnsi"/>
        </w:rPr>
        <w:t>, along with TDHCA standards for HTC financed transactions,</w:t>
      </w:r>
      <w:r w:rsidR="00D1017A" w:rsidRPr="00C267C1">
        <w:rPr>
          <w:rFonts w:asciiTheme="minorHAnsi" w:hAnsiTheme="minorHAnsi" w:cstheme="minorHAnsi"/>
        </w:rPr>
        <w:t xml:space="preserve"> will be hereafter referred to as Minimum Standards. </w:t>
      </w:r>
      <w:r w:rsidR="00EC5BDB" w:rsidRPr="00C267C1">
        <w:rPr>
          <w:rFonts w:asciiTheme="minorHAnsi" w:hAnsiTheme="minorHAnsi" w:cstheme="minorHAnsi"/>
        </w:rPr>
        <w:t>Applications for 9% and 4% Resolutions must meet Minimum Standards to qualify.</w:t>
      </w:r>
    </w:p>
    <w:p w14:paraId="0BA767A0" w14:textId="77777777" w:rsidR="008164AE" w:rsidRPr="00C267C1" w:rsidRDefault="008164AE" w:rsidP="004C2C17">
      <w:pPr>
        <w:rPr>
          <w:rFonts w:asciiTheme="minorHAnsi" w:hAnsiTheme="minorHAnsi" w:cstheme="minorHAnsi"/>
        </w:rPr>
      </w:pPr>
    </w:p>
    <w:p w14:paraId="303F1741" w14:textId="6392B585" w:rsidR="002E4081" w:rsidRPr="00C267C1" w:rsidRDefault="00F21651" w:rsidP="00345643">
      <w:pPr>
        <w:pStyle w:val="ListParagraph"/>
        <w:numPr>
          <w:ilvl w:val="2"/>
          <w:numId w:val="1"/>
        </w:numPr>
        <w:ind w:left="360"/>
        <w:rPr>
          <w:rFonts w:asciiTheme="minorHAnsi" w:hAnsiTheme="minorHAnsi" w:cstheme="minorHAnsi"/>
          <w:b/>
        </w:rPr>
      </w:pPr>
      <w:r w:rsidRPr="00C267C1">
        <w:rPr>
          <w:rFonts w:asciiTheme="minorHAnsi" w:hAnsiTheme="minorHAnsi" w:cstheme="minorHAnsi"/>
          <w:b/>
        </w:rPr>
        <w:t>Floodway and Floodplain Development</w:t>
      </w:r>
      <w:r w:rsidRPr="00C267C1">
        <w:rPr>
          <w:rFonts w:asciiTheme="minorHAnsi" w:hAnsiTheme="minorHAnsi" w:cstheme="minorHAnsi"/>
        </w:rPr>
        <w:t xml:space="preserve"> - </w:t>
      </w:r>
      <w:r w:rsidR="003529BD" w:rsidRPr="00C267C1">
        <w:rPr>
          <w:rFonts w:asciiTheme="minorHAnsi" w:hAnsiTheme="minorHAnsi" w:cstheme="minorHAnsi"/>
        </w:rPr>
        <w:t>HCDD will not provide Resolutions of Support</w:t>
      </w:r>
      <w:r w:rsidR="00827225" w:rsidRPr="00C267C1">
        <w:rPr>
          <w:rFonts w:asciiTheme="minorHAnsi" w:hAnsiTheme="minorHAnsi" w:cstheme="minorHAnsi"/>
        </w:rPr>
        <w:t xml:space="preserve"> or</w:t>
      </w:r>
      <w:r w:rsidR="003529BD" w:rsidRPr="00C267C1">
        <w:rPr>
          <w:rFonts w:asciiTheme="minorHAnsi" w:hAnsiTheme="minorHAnsi" w:cstheme="minorHAnsi"/>
        </w:rPr>
        <w:t xml:space="preserve"> Resolutions of No </w:t>
      </w:r>
      <w:r w:rsidR="00CF0DA6" w:rsidRPr="00C267C1">
        <w:rPr>
          <w:rFonts w:asciiTheme="minorHAnsi" w:hAnsiTheme="minorHAnsi" w:cstheme="minorHAnsi"/>
        </w:rPr>
        <w:t>Objection to</w:t>
      </w:r>
      <w:r w:rsidR="00072309" w:rsidRPr="00C267C1">
        <w:rPr>
          <w:rFonts w:asciiTheme="minorHAnsi" w:hAnsiTheme="minorHAnsi" w:cstheme="minorHAnsi"/>
        </w:rPr>
        <w:t xml:space="preserve"> developments</w:t>
      </w:r>
      <w:r w:rsidR="003529BD" w:rsidRPr="00C267C1">
        <w:rPr>
          <w:rFonts w:asciiTheme="minorHAnsi" w:hAnsiTheme="minorHAnsi" w:cstheme="minorHAnsi"/>
        </w:rPr>
        <w:t xml:space="preserve"> </w:t>
      </w:r>
      <w:r w:rsidR="00277283" w:rsidRPr="00C267C1">
        <w:rPr>
          <w:rFonts w:asciiTheme="minorHAnsi" w:hAnsiTheme="minorHAnsi" w:cstheme="minorHAnsi"/>
        </w:rPr>
        <w:t xml:space="preserve">located within any identified </w:t>
      </w:r>
      <w:r w:rsidR="00640B9F" w:rsidRPr="00C267C1">
        <w:rPr>
          <w:rFonts w:asciiTheme="minorHAnsi" w:hAnsiTheme="minorHAnsi" w:cstheme="minorHAnsi"/>
        </w:rPr>
        <w:t>f</w:t>
      </w:r>
      <w:r w:rsidR="00D539C2" w:rsidRPr="00C267C1">
        <w:rPr>
          <w:rFonts w:asciiTheme="minorHAnsi" w:hAnsiTheme="minorHAnsi" w:cstheme="minorHAnsi"/>
        </w:rPr>
        <w:t xml:space="preserve">loodway. </w:t>
      </w:r>
      <w:r w:rsidR="00277283" w:rsidRPr="00C267C1">
        <w:rPr>
          <w:rFonts w:asciiTheme="minorHAnsi" w:hAnsiTheme="minorHAnsi" w:cstheme="minorHAnsi"/>
        </w:rPr>
        <w:t xml:space="preserve"> </w:t>
      </w:r>
    </w:p>
    <w:p w14:paraId="7F6BDFF1" w14:textId="77777777" w:rsidR="002E4081" w:rsidRPr="00C267C1" w:rsidRDefault="002E4081" w:rsidP="002E4081">
      <w:pPr>
        <w:rPr>
          <w:rFonts w:asciiTheme="minorHAnsi" w:hAnsiTheme="minorHAnsi" w:cstheme="minorHAnsi"/>
        </w:rPr>
      </w:pPr>
    </w:p>
    <w:p w14:paraId="687B1DC1" w14:textId="0E4AA61E" w:rsidR="00345643" w:rsidRPr="00C267C1" w:rsidRDefault="00D539C2" w:rsidP="002E4081">
      <w:pPr>
        <w:ind w:left="360"/>
        <w:rPr>
          <w:rFonts w:asciiTheme="minorHAnsi" w:hAnsiTheme="minorHAnsi" w:cstheme="minorHAnsi"/>
          <w:b/>
        </w:rPr>
      </w:pPr>
      <w:r w:rsidRPr="00C267C1">
        <w:rPr>
          <w:rFonts w:asciiTheme="minorHAnsi" w:hAnsiTheme="minorHAnsi" w:cstheme="minorHAnsi"/>
        </w:rPr>
        <w:t>Developments with improvements within 100-year floodplain</w:t>
      </w:r>
      <w:r w:rsidR="002E4081" w:rsidRPr="00C267C1">
        <w:rPr>
          <w:rFonts w:asciiTheme="minorHAnsi" w:hAnsiTheme="minorHAnsi" w:cstheme="minorHAnsi"/>
        </w:rPr>
        <w:t xml:space="preserve"> as identified by the Federal Emergency Management Agency (FEMA)</w:t>
      </w:r>
      <w:r w:rsidRPr="00C267C1">
        <w:rPr>
          <w:rFonts w:asciiTheme="minorHAnsi" w:hAnsiTheme="minorHAnsi" w:cstheme="minorHAnsi"/>
        </w:rPr>
        <w:t xml:space="preserve"> will</w:t>
      </w:r>
      <w:r w:rsidR="00277283" w:rsidRPr="00C267C1">
        <w:rPr>
          <w:rFonts w:asciiTheme="minorHAnsi" w:hAnsiTheme="minorHAnsi" w:cstheme="minorHAnsi"/>
        </w:rPr>
        <w:t xml:space="preserve"> also </w:t>
      </w:r>
      <w:r w:rsidRPr="00C267C1">
        <w:rPr>
          <w:rFonts w:asciiTheme="minorHAnsi" w:hAnsiTheme="minorHAnsi" w:cstheme="minorHAnsi"/>
        </w:rPr>
        <w:t xml:space="preserve">be ineligible unless the applicant can demonstrate flood mitigation practices to avoid adverse impacts to residents, impacts to the floodplain and restore natural and beneficial values. </w:t>
      </w:r>
      <w:r w:rsidR="00345643" w:rsidRPr="00C267C1">
        <w:rPr>
          <w:rFonts w:asciiTheme="minorHAnsi" w:hAnsiTheme="minorHAnsi" w:cstheme="minorHAnsi"/>
        </w:rPr>
        <w:t xml:space="preserve"> Sites not located within 100-year </w:t>
      </w:r>
      <w:r w:rsidR="00CF0DA6" w:rsidRPr="00C267C1">
        <w:rPr>
          <w:rFonts w:asciiTheme="minorHAnsi" w:hAnsiTheme="minorHAnsi" w:cstheme="minorHAnsi"/>
        </w:rPr>
        <w:t>floodplain but</w:t>
      </w:r>
      <w:r w:rsidR="00345643" w:rsidRPr="00C267C1">
        <w:rPr>
          <w:rFonts w:asciiTheme="minorHAnsi" w:hAnsiTheme="minorHAnsi" w:cstheme="minorHAnsi"/>
        </w:rPr>
        <w:t xml:space="preserve"> reported flooding events within the past 10 years may be subject to these requirements.</w:t>
      </w:r>
    </w:p>
    <w:p w14:paraId="56316308" w14:textId="77777777" w:rsidR="00F21651" w:rsidRPr="00C267C1" w:rsidRDefault="00F21651" w:rsidP="004C2C17">
      <w:pPr>
        <w:pStyle w:val="ListParagraph"/>
        <w:ind w:left="360"/>
        <w:rPr>
          <w:rFonts w:asciiTheme="minorHAnsi" w:hAnsiTheme="minorHAnsi" w:cstheme="minorHAnsi"/>
          <w:b/>
        </w:rPr>
      </w:pPr>
    </w:p>
    <w:p w14:paraId="3FB115A7" w14:textId="38E90519" w:rsidR="007A0117" w:rsidRPr="00C267C1" w:rsidRDefault="00D539C2" w:rsidP="004C2C17">
      <w:pPr>
        <w:pStyle w:val="ListParagraph"/>
        <w:ind w:left="360"/>
        <w:rPr>
          <w:rFonts w:asciiTheme="minorHAnsi" w:hAnsiTheme="minorHAnsi" w:cstheme="minorHAnsi"/>
          <w:b/>
        </w:rPr>
      </w:pPr>
      <w:r w:rsidRPr="00C267C1">
        <w:rPr>
          <w:rFonts w:asciiTheme="minorHAnsi" w:hAnsiTheme="minorHAnsi" w:cstheme="minorHAnsi"/>
        </w:rPr>
        <w:t>Mitigation</w:t>
      </w:r>
      <w:r w:rsidR="00F21651" w:rsidRPr="00C267C1">
        <w:rPr>
          <w:rFonts w:asciiTheme="minorHAnsi" w:hAnsiTheme="minorHAnsi" w:cstheme="minorHAnsi"/>
        </w:rPr>
        <w:t xml:space="preserve"> efforts to </w:t>
      </w:r>
      <w:r w:rsidRPr="00C267C1">
        <w:rPr>
          <w:rFonts w:asciiTheme="minorHAnsi" w:hAnsiTheme="minorHAnsi" w:cstheme="minorHAnsi"/>
        </w:rPr>
        <w:t>include Chapter 19 of the City’s Code of Ord</w:t>
      </w:r>
      <w:r w:rsidR="007C1874" w:rsidRPr="00C267C1">
        <w:rPr>
          <w:rFonts w:asciiTheme="minorHAnsi" w:hAnsiTheme="minorHAnsi" w:cstheme="minorHAnsi"/>
        </w:rPr>
        <w:t>i</w:t>
      </w:r>
      <w:r w:rsidRPr="00C267C1">
        <w:rPr>
          <w:rFonts w:asciiTheme="minorHAnsi" w:hAnsiTheme="minorHAnsi" w:cstheme="minorHAnsi"/>
        </w:rPr>
        <w:t xml:space="preserve">nances. </w:t>
      </w:r>
      <w:r w:rsidR="00277283" w:rsidRPr="00C267C1">
        <w:rPr>
          <w:rFonts w:asciiTheme="minorHAnsi" w:hAnsiTheme="minorHAnsi" w:cstheme="minorHAnsi"/>
        </w:rPr>
        <w:t>Mitigation efforts may include, but not limited to</w:t>
      </w:r>
      <w:r w:rsidR="00F21651" w:rsidRPr="00C267C1">
        <w:rPr>
          <w:rFonts w:asciiTheme="minorHAnsi" w:hAnsiTheme="minorHAnsi" w:cstheme="minorHAnsi"/>
        </w:rPr>
        <w:t xml:space="preserve">, </w:t>
      </w:r>
      <w:r w:rsidR="00BE1174" w:rsidRPr="00C267C1">
        <w:rPr>
          <w:rFonts w:asciiTheme="minorHAnsi" w:hAnsiTheme="minorHAnsi" w:cstheme="minorHAnsi"/>
        </w:rPr>
        <w:t>elevating building s</w:t>
      </w:r>
      <w:r w:rsidR="00F21651" w:rsidRPr="00C267C1">
        <w:rPr>
          <w:rFonts w:asciiTheme="minorHAnsi" w:hAnsiTheme="minorHAnsi" w:cstheme="minorHAnsi"/>
        </w:rPr>
        <w:t xml:space="preserve">ite out of the floodplain, </w:t>
      </w:r>
      <w:r w:rsidR="00277283" w:rsidRPr="00C267C1">
        <w:rPr>
          <w:rFonts w:asciiTheme="minorHAnsi" w:hAnsiTheme="minorHAnsi" w:cstheme="minorHAnsi"/>
        </w:rPr>
        <w:t xml:space="preserve">elevated podium construction, </w:t>
      </w:r>
      <w:r w:rsidR="00640B9F" w:rsidRPr="00C267C1">
        <w:rPr>
          <w:rFonts w:asciiTheme="minorHAnsi" w:hAnsiTheme="minorHAnsi" w:cstheme="minorHAnsi"/>
        </w:rPr>
        <w:t xml:space="preserve">restricting </w:t>
      </w:r>
      <w:r w:rsidR="00F21651" w:rsidRPr="00C267C1">
        <w:rPr>
          <w:rFonts w:asciiTheme="minorHAnsi" w:hAnsiTheme="minorHAnsi" w:cstheme="minorHAnsi"/>
        </w:rPr>
        <w:t>ground floor space for residential use, pier and beam foundations for single-f</w:t>
      </w:r>
      <w:r w:rsidR="00BE1174" w:rsidRPr="00C267C1">
        <w:rPr>
          <w:rFonts w:asciiTheme="minorHAnsi" w:hAnsiTheme="minorHAnsi" w:cstheme="minorHAnsi"/>
        </w:rPr>
        <w:t xml:space="preserve">amily units, etc. </w:t>
      </w:r>
      <w:r w:rsidR="00F21651" w:rsidRPr="00C267C1">
        <w:rPr>
          <w:rFonts w:asciiTheme="minorHAnsi" w:hAnsiTheme="minorHAnsi" w:cstheme="minorHAnsi"/>
        </w:rPr>
        <w:t xml:space="preserve"> </w:t>
      </w:r>
      <w:r w:rsidR="00D14534" w:rsidRPr="00C267C1">
        <w:rPr>
          <w:rFonts w:asciiTheme="minorHAnsi" w:hAnsiTheme="minorHAnsi" w:cstheme="minorHAnsi"/>
        </w:rPr>
        <w:t xml:space="preserve">Any </w:t>
      </w:r>
      <w:r w:rsidR="00CC262D" w:rsidRPr="00C267C1">
        <w:rPr>
          <w:rFonts w:asciiTheme="minorHAnsi" w:hAnsiTheme="minorHAnsi" w:cstheme="minorHAnsi"/>
        </w:rPr>
        <w:t xml:space="preserve">mitigation </w:t>
      </w:r>
      <w:r w:rsidR="00D14534" w:rsidRPr="00C267C1">
        <w:rPr>
          <w:rFonts w:asciiTheme="minorHAnsi" w:hAnsiTheme="minorHAnsi" w:cstheme="minorHAnsi"/>
        </w:rPr>
        <w:t xml:space="preserve">efforts will be </w:t>
      </w:r>
      <w:r w:rsidR="002E4081" w:rsidRPr="00C267C1">
        <w:rPr>
          <w:rFonts w:asciiTheme="minorHAnsi" w:hAnsiTheme="minorHAnsi" w:cstheme="minorHAnsi"/>
        </w:rPr>
        <w:t xml:space="preserve">evaluated </w:t>
      </w:r>
      <w:r w:rsidR="00D14534" w:rsidRPr="00C267C1">
        <w:rPr>
          <w:rFonts w:asciiTheme="minorHAnsi" w:hAnsiTheme="minorHAnsi" w:cstheme="minorHAnsi"/>
        </w:rPr>
        <w:t xml:space="preserve">on a case by case basis by HCDD.  </w:t>
      </w:r>
    </w:p>
    <w:p w14:paraId="7E3B66CA" w14:textId="1FF32969" w:rsidR="00277283" w:rsidRPr="00C267C1" w:rsidRDefault="00277283" w:rsidP="00AA217A">
      <w:pPr>
        <w:rPr>
          <w:rFonts w:asciiTheme="minorHAnsi" w:hAnsiTheme="minorHAnsi" w:cstheme="minorHAnsi"/>
        </w:rPr>
      </w:pPr>
    </w:p>
    <w:p w14:paraId="47E347D3" w14:textId="39FF063D" w:rsidR="00643B9F" w:rsidRPr="00C267C1" w:rsidRDefault="00643B9F" w:rsidP="00643B9F">
      <w:pPr>
        <w:pStyle w:val="ListParagraph"/>
        <w:numPr>
          <w:ilvl w:val="2"/>
          <w:numId w:val="1"/>
        </w:numPr>
        <w:ind w:left="360"/>
        <w:rPr>
          <w:rFonts w:asciiTheme="minorHAnsi" w:hAnsiTheme="minorHAnsi" w:cstheme="minorHAnsi"/>
          <w:bCs/>
          <w:u w:val="single"/>
        </w:rPr>
      </w:pPr>
      <w:r w:rsidRPr="00C267C1">
        <w:rPr>
          <w:rFonts w:asciiTheme="minorHAnsi" w:hAnsiTheme="minorHAnsi" w:cstheme="minorHAnsi"/>
        </w:rPr>
        <w:t>HCDD will not provide Resolutions of Support</w:t>
      </w:r>
      <w:r w:rsidR="00827225" w:rsidRPr="00C267C1">
        <w:rPr>
          <w:rFonts w:asciiTheme="minorHAnsi" w:hAnsiTheme="minorHAnsi" w:cstheme="minorHAnsi"/>
        </w:rPr>
        <w:t xml:space="preserve"> or</w:t>
      </w:r>
      <w:r w:rsidRPr="00C267C1">
        <w:rPr>
          <w:rFonts w:asciiTheme="minorHAnsi" w:hAnsiTheme="minorHAnsi" w:cstheme="minorHAnsi"/>
        </w:rPr>
        <w:t xml:space="preserve"> Resolutions of No Objection </w:t>
      </w:r>
      <w:r w:rsidR="00392169" w:rsidRPr="00C267C1">
        <w:rPr>
          <w:rFonts w:asciiTheme="minorHAnsi" w:hAnsiTheme="minorHAnsi" w:cstheme="minorHAnsi"/>
        </w:rPr>
        <w:t>to</w:t>
      </w:r>
      <w:r w:rsidRPr="00C267C1">
        <w:rPr>
          <w:rFonts w:asciiTheme="minorHAnsi" w:hAnsiTheme="minorHAnsi" w:cstheme="minorHAnsi"/>
        </w:rPr>
        <w:t xml:space="preserve"> proposed applications for </w:t>
      </w:r>
      <w:r w:rsidRPr="00C267C1">
        <w:rPr>
          <w:rFonts w:asciiTheme="minorHAnsi" w:hAnsiTheme="minorHAnsi" w:cstheme="minorHAnsi"/>
          <w:b/>
        </w:rPr>
        <w:t xml:space="preserve">purchase or new construction </w:t>
      </w:r>
      <w:r w:rsidRPr="00C267C1">
        <w:rPr>
          <w:rFonts w:asciiTheme="minorHAnsi" w:hAnsiTheme="minorHAnsi" w:cstheme="minorHAnsi"/>
        </w:rPr>
        <w:t xml:space="preserve">where the poverty concentration of the site’s census tract is greater than </w:t>
      </w:r>
      <w:r w:rsidR="00CF0DA6" w:rsidRPr="00C267C1">
        <w:rPr>
          <w:rFonts w:asciiTheme="minorHAnsi" w:hAnsiTheme="minorHAnsi" w:cstheme="minorHAnsi"/>
        </w:rPr>
        <w:t>25% unless</w:t>
      </w:r>
      <w:r w:rsidRPr="00C267C1">
        <w:rPr>
          <w:rFonts w:asciiTheme="minorHAnsi" w:hAnsiTheme="minorHAnsi" w:cstheme="minorHAnsi"/>
        </w:rPr>
        <w:t xml:space="preserve"> the site is located within the boundaries of a</w:t>
      </w:r>
      <w:r w:rsidR="00395AD9" w:rsidRPr="00C267C1">
        <w:rPr>
          <w:rFonts w:asciiTheme="minorHAnsi" w:hAnsiTheme="minorHAnsi" w:cstheme="minorHAnsi"/>
        </w:rPr>
        <w:t xml:space="preserve"> </w:t>
      </w:r>
      <w:r w:rsidR="00085509" w:rsidRPr="00C267C1">
        <w:rPr>
          <w:rFonts w:asciiTheme="minorHAnsi" w:hAnsiTheme="minorHAnsi" w:cstheme="minorHAnsi"/>
        </w:rPr>
        <w:t xml:space="preserve">recognized </w:t>
      </w:r>
      <w:r w:rsidRPr="00C267C1">
        <w:rPr>
          <w:rFonts w:asciiTheme="minorHAnsi" w:hAnsiTheme="minorHAnsi" w:cstheme="minorHAnsi"/>
        </w:rPr>
        <w:t>Concerted Revitalization Area.</w:t>
      </w:r>
      <w:r w:rsidRPr="00C267C1">
        <w:rPr>
          <w:rFonts w:asciiTheme="minorHAnsi" w:hAnsiTheme="minorHAnsi" w:cstheme="minorHAnsi"/>
          <w:b/>
        </w:rPr>
        <w:t xml:space="preserve"> </w:t>
      </w:r>
      <w:r w:rsidRPr="00C267C1">
        <w:rPr>
          <w:rFonts w:asciiTheme="minorHAnsi" w:hAnsiTheme="minorHAnsi" w:cstheme="minorHAnsi"/>
        </w:rPr>
        <w:t xml:space="preserve">Applications for </w:t>
      </w:r>
      <w:r w:rsidRPr="00C267C1">
        <w:rPr>
          <w:rFonts w:asciiTheme="minorHAnsi" w:hAnsiTheme="minorHAnsi" w:cstheme="minorHAnsi"/>
          <w:b/>
        </w:rPr>
        <w:t>rehabilitations</w:t>
      </w:r>
      <w:r w:rsidRPr="00C267C1">
        <w:rPr>
          <w:rFonts w:asciiTheme="minorHAnsi" w:hAnsiTheme="minorHAnsi" w:cstheme="minorHAnsi"/>
        </w:rPr>
        <w:t xml:space="preserve"> where poverty concentrations are &gt; 25% will be considered on a case-by-case basis. </w:t>
      </w:r>
    </w:p>
    <w:p w14:paraId="75473E8B" w14:textId="77777777" w:rsidR="00643B9F" w:rsidRPr="00C267C1" w:rsidRDefault="00643B9F" w:rsidP="00643B9F">
      <w:pPr>
        <w:pStyle w:val="ListParagraph"/>
        <w:rPr>
          <w:rFonts w:asciiTheme="minorHAnsi" w:hAnsiTheme="minorHAnsi" w:cstheme="minorHAnsi"/>
        </w:rPr>
      </w:pPr>
    </w:p>
    <w:p w14:paraId="493752FB" w14:textId="33F59C31" w:rsidR="00643B9F" w:rsidRPr="00C267C1" w:rsidRDefault="00643B9F" w:rsidP="00643B9F">
      <w:pPr>
        <w:pStyle w:val="ListParagraph"/>
        <w:numPr>
          <w:ilvl w:val="2"/>
          <w:numId w:val="1"/>
        </w:numPr>
        <w:ind w:left="360"/>
        <w:rPr>
          <w:rFonts w:asciiTheme="minorHAnsi" w:hAnsiTheme="minorHAnsi" w:cstheme="minorHAnsi"/>
          <w:bCs/>
          <w:u w:val="single"/>
        </w:rPr>
      </w:pPr>
      <w:r w:rsidRPr="00C267C1">
        <w:rPr>
          <w:rFonts w:asciiTheme="minorHAnsi" w:hAnsiTheme="minorHAnsi" w:cstheme="minorHAnsi"/>
        </w:rPr>
        <w:t>HCDD will not provide Resolutions of Support</w:t>
      </w:r>
      <w:r w:rsidR="00827225" w:rsidRPr="00C267C1">
        <w:rPr>
          <w:rFonts w:asciiTheme="minorHAnsi" w:hAnsiTheme="minorHAnsi" w:cstheme="minorHAnsi"/>
        </w:rPr>
        <w:t xml:space="preserve"> or</w:t>
      </w:r>
      <w:r w:rsidRPr="00C267C1">
        <w:rPr>
          <w:rFonts w:asciiTheme="minorHAnsi" w:hAnsiTheme="minorHAnsi" w:cstheme="minorHAnsi"/>
        </w:rPr>
        <w:t xml:space="preserve"> Resolutions of No Objection </w:t>
      </w:r>
      <w:r w:rsidR="00392169" w:rsidRPr="00C267C1">
        <w:rPr>
          <w:rFonts w:asciiTheme="minorHAnsi" w:hAnsiTheme="minorHAnsi" w:cstheme="minorHAnsi"/>
        </w:rPr>
        <w:t>to</w:t>
      </w:r>
      <w:r w:rsidRPr="00C267C1">
        <w:rPr>
          <w:rFonts w:asciiTheme="minorHAnsi" w:hAnsiTheme="minorHAnsi" w:cstheme="minorHAnsi"/>
        </w:rPr>
        <w:t xml:space="preserve"> purchase, </w:t>
      </w:r>
      <w:r w:rsidRPr="00C267C1">
        <w:rPr>
          <w:rFonts w:asciiTheme="minorHAnsi" w:hAnsiTheme="minorHAnsi" w:cstheme="minorHAnsi"/>
          <w:b/>
        </w:rPr>
        <w:t>reconstruction or new construction</w:t>
      </w:r>
      <w:r w:rsidRPr="00C267C1">
        <w:rPr>
          <w:rFonts w:asciiTheme="minorHAnsi" w:hAnsiTheme="minorHAnsi" w:cstheme="minorHAnsi"/>
        </w:rPr>
        <w:t xml:space="preserve"> of multifamily developments </w:t>
      </w:r>
      <w:r w:rsidRPr="00C267C1">
        <w:rPr>
          <w:rFonts w:asciiTheme="minorHAnsi" w:hAnsiTheme="minorHAnsi" w:cstheme="minorHAnsi"/>
          <w:b/>
        </w:rPr>
        <w:t>for families</w:t>
      </w:r>
      <w:r w:rsidRPr="00C267C1">
        <w:rPr>
          <w:rFonts w:asciiTheme="minorHAnsi" w:hAnsiTheme="minorHAnsi" w:cstheme="minorHAnsi"/>
        </w:rPr>
        <w:t xml:space="preserve"> zoned to any school </w:t>
      </w:r>
      <w:r w:rsidR="00B21BAE" w:rsidRPr="00C267C1">
        <w:rPr>
          <w:rFonts w:asciiTheme="minorHAnsi" w:hAnsiTheme="minorHAnsi" w:cstheme="minorHAnsi"/>
        </w:rPr>
        <w:t>receiving a grade “F” on the TEA Accountability Ratings</w:t>
      </w:r>
      <w:r w:rsidRPr="00C267C1">
        <w:rPr>
          <w:rFonts w:asciiTheme="minorHAnsi" w:hAnsiTheme="minorHAnsi" w:cstheme="minorHAnsi"/>
        </w:rPr>
        <w:t xml:space="preserve">, unless the proposed development is for Seniors, Single Room Occupancy, Permanent Supportive Housing, or site is located within the boundaries of a Concentrated Revitalization Area. Requests for Resolutions of No Objection for </w:t>
      </w:r>
      <w:r w:rsidRPr="00C267C1">
        <w:rPr>
          <w:rFonts w:asciiTheme="minorHAnsi" w:hAnsiTheme="minorHAnsi" w:cstheme="minorHAnsi"/>
          <w:b/>
        </w:rPr>
        <w:t>rehabilitations</w:t>
      </w:r>
      <w:r w:rsidRPr="00C267C1">
        <w:rPr>
          <w:rFonts w:asciiTheme="minorHAnsi" w:hAnsiTheme="minorHAnsi" w:cstheme="minorHAnsi"/>
        </w:rPr>
        <w:t xml:space="preserve"> of existing developments zoned to any school </w:t>
      </w:r>
      <w:r w:rsidR="00627980">
        <w:rPr>
          <w:rFonts w:asciiTheme="minorHAnsi" w:hAnsiTheme="minorHAnsi" w:cstheme="minorHAnsi"/>
        </w:rPr>
        <w:t xml:space="preserve">with a grade “F” </w:t>
      </w:r>
      <w:bookmarkStart w:id="5" w:name="_GoBack"/>
      <w:bookmarkEnd w:id="5"/>
      <w:r w:rsidRPr="00C267C1">
        <w:rPr>
          <w:rFonts w:asciiTheme="minorHAnsi" w:hAnsiTheme="minorHAnsi" w:cstheme="minorHAnsi"/>
        </w:rPr>
        <w:t xml:space="preserve">will be considered on a case-by-case basis.  </w:t>
      </w:r>
    </w:p>
    <w:p w14:paraId="6A774404" w14:textId="51DB9C64" w:rsidR="00277283" w:rsidRPr="00C267C1" w:rsidRDefault="00277283" w:rsidP="00CA36B6">
      <w:pPr>
        <w:pStyle w:val="ListParagraph"/>
        <w:ind w:left="360"/>
        <w:rPr>
          <w:rFonts w:asciiTheme="minorHAnsi" w:hAnsiTheme="minorHAnsi" w:cstheme="minorHAnsi"/>
        </w:rPr>
      </w:pPr>
    </w:p>
    <w:p w14:paraId="4FBFB24B" w14:textId="46B07287" w:rsidR="0031772B" w:rsidRDefault="005E2665" w:rsidP="00CC2B8A">
      <w:pPr>
        <w:pStyle w:val="TableParagraph"/>
        <w:spacing w:line="237" w:lineRule="auto"/>
        <w:ind w:right="77"/>
        <w:jc w:val="center"/>
        <w:rPr>
          <w:rFonts w:asciiTheme="minorHAnsi" w:hAnsiTheme="minorHAnsi" w:cstheme="minorHAnsi"/>
          <w:b/>
          <w:color w:val="282F2D"/>
          <w:u w:val="single"/>
        </w:rPr>
      </w:pPr>
      <w:bookmarkStart w:id="6" w:name="_Hlk23513221"/>
      <w:r w:rsidRPr="00C267C1">
        <w:rPr>
          <w:rFonts w:asciiTheme="minorHAnsi" w:hAnsiTheme="minorHAnsi" w:cstheme="minorHAnsi"/>
          <w:b/>
          <w:color w:val="282F2D"/>
          <w:u w:val="single"/>
        </w:rPr>
        <w:t>Equitable Distribution</w:t>
      </w:r>
      <w:r w:rsidR="0031772B" w:rsidRPr="00C267C1">
        <w:rPr>
          <w:rFonts w:asciiTheme="minorHAnsi" w:hAnsiTheme="minorHAnsi" w:cstheme="minorHAnsi"/>
          <w:b/>
          <w:color w:val="282F2D"/>
          <w:u w:val="single"/>
        </w:rPr>
        <w:t xml:space="preserve"> Policy</w:t>
      </w:r>
    </w:p>
    <w:p w14:paraId="7A268240" w14:textId="77777777" w:rsidR="00C267C1" w:rsidRPr="00C267C1" w:rsidRDefault="00C267C1" w:rsidP="00CC2B8A">
      <w:pPr>
        <w:pStyle w:val="TableParagraph"/>
        <w:spacing w:line="237" w:lineRule="auto"/>
        <w:ind w:right="77"/>
        <w:jc w:val="center"/>
        <w:rPr>
          <w:rFonts w:asciiTheme="minorHAnsi" w:hAnsiTheme="minorHAnsi" w:cstheme="minorHAnsi"/>
          <w:b/>
          <w:color w:val="282F2D"/>
          <w:u w:val="single"/>
        </w:rPr>
      </w:pPr>
    </w:p>
    <w:p w14:paraId="223CF887" w14:textId="77777777" w:rsidR="0031772B" w:rsidRPr="00C267C1" w:rsidRDefault="0031772B" w:rsidP="0031772B">
      <w:pPr>
        <w:pStyle w:val="TableParagraph"/>
        <w:spacing w:line="237" w:lineRule="auto"/>
        <w:ind w:right="77"/>
        <w:jc w:val="both"/>
        <w:rPr>
          <w:rFonts w:asciiTheme="minorHAnsi" w:hAnsiTheme="minorHAnsi" w:cstheme="minorHAnsi"/>
          <w:b/>
          <w:color w:val="282F2D"/>
        </w:rPr>
      </w:pPr>
      <w:r w:rsidRPr="00C267C1">
        <w:rPr>
          <w:rFonts w:asciiTheme="minorHAnsi" w:hAnsiTheme="minorHAnsi" w:cstheme="minorHAnsi"/>
          <w:b/>
          <w:color w:val="282F2D"/>
        </w:rPr>
        <w:t xml:space="preserve">Purpose </w:t>
      </w:r>
    </w:p>
    <w:p w14:paraId="623B7303" w14:textId="77777777" w:rsidR="00331705" w:rsidRPr="00331705" w:rsidRDefault="00331705" w:rsidP="00331705">
      <w:pPr>
        <w:widowControl w:val="0"/>
        <w:autoSpaceDE w:val="0"/>
        <w:autoSpaceDN w:val="0"/>
        <w:ind w:right="77"/>
        <w:jc w:val="both"/>
        <w:rPr>
          <w:rFonts w:asciiTheme="minorHAnsi" w:eastAsia="Arial" w:hAnsiTheme="minorHAnsi" w:cstheme="minorHAnsi"/>
          <w:b/>
          <w:color w:val="282F2D"/>
        </w:rPr>
      </w:pPr>
      <w:r w:rsidRPr="00331705">
        <w:rPr>
          <w:rFonts w:asciiTheme="minorHAnsi" w:eastAsia="Arial" w:hAnsiTheme="minorHAnsi" w:cstheme="minorHAnsi"/>
          <w:color w:val="282F2D"/>
        </w:rPr>
        <w:t xml:space="preserve">The guiding principle of this revision is to equitably disperse assisted multifamily developments throughout Houston as it aims to create greater housing choice. HCDD reviewed the concentration of the existing affordable housing stock located within the 11 council districts. The purpose of the equitable distribution strategy is to prioritize council districts which represents a lower than average supply of </w:t>
      </w:r>
      <w:r w:rsidRPr="00331705">
        <w:rPr>
          <w:rFonts w:asciiTheme="minorHAnsi" w:eastAsia="Arial" w:hAnsiTheme="minorHAnsi" w:cstheme="minorHAnsi"/>
          <w:color w:val="282F2D"/>
        </w:rPr>
        <w:lastRenderedPageBreak/>
        <w:t xml:space="preserve">existing housing stock to service the residents of the city. The schedule below reflects the current distribution of affordable stock throughout the 11 districts. </w:t>
      </w:r>
    </w:p>
    <w:p w14:paraId="48C0A9C0" w14:textId="77777777" w:rsidR="0031772B" w:rsidRPr="00C267C1" w:rsidRDefault="0031772B" w:rsidP="00B073C3">
      <w:pPr>
        <w:pStyle w:val="TableParagraph"/>
        <w:spacing w:line="237" w:lineRule="auto"/>
        <w:ind w:right="77"/>
        <w:jc w:val="both"/>
        <w:rPr>
          <w:rFonts w:asciiTheme="minorHAnsi" w:hAnsiTheme="minorHAnsi" w:cstheme="minorHAnsi"/>
          <w:b/>
          <w:color w:val="282F2D"/>
        </w:rPr>
      </w:pPr>
    </w:p>
    <w:p w14:paraId="21F34EA9" w14:textId="406D109B" w:rsidR="0031772B" w:rsidRPr="00C267C1" w:rsidRDefault="0031772B">
      <w:pPr>
        <w:pStyle w:val="TableParagraph"/>
        <w:spacing w:line="237" w:lineRule="auto"/>
        <w:ind w:right="77"/>
        <w:jc w:val="center"/>
        <w:rPr>
          <w:rFonts w:asciiTheme="minorHAnsi" w:hAnsiTheme="minorHAnsi" w:cstheme="minorHAnsi"/>
          <w:b/>
          <w:color w:val="282F2D"/>
        </w:rPr>
      </w:pPr>
      <w:r w:rsidRPr="00C267C1">
        <w:rPr>
          <w:rFonts w:asciiTheme="minorHAnsi" w:hAnsiTheme="minorHAnsi" w:cstheme="minorHAnsi"/>
          <w:b/>
          <w:noProof/>
          <w:color w:val="948A54" w:themeColor="background2" w:themeShade="80"/>
          <w:sz w:val="36"/>
          <w:szCs w:val="36"/>
        </w:rPr>
        <mc:AlternateContent>
          <mc:Choice Requires="wps">
            <w:drawing>
              <wp:anchor distT="0" distB="0" distL="114300" distR="114300" simplePos="0" relativeHeight="251659264" behindDoc="0" locked="0" layoutInCell="1" allowOverlap="1" wp14:anchorId="40900AD4" wp14:editId="57BE9E99">
                <wp:simplePos x="0" y="0"/>
                <wp:positionH relativeFrom="margin">
                  <wp:posOffset>561975</wp:posOffset>
                </wp:positionH>
                <wp:positionV relativeFrom="paragraph">
                  <wp:posOffset>1838325</wp:posOffset>
                </wp:positionV>
                <wp:extent cx="501015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50101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7BA696"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25pt,144.75pt" to="438.75pt,1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" strokecolor="#bc4542 [3045]">
                <w10:wrap anchorx="margin"/>
              </v:line>
            </w:pict>
          </mc:Fallback>
        </mc:AlternateContent>
      </w:r>
      <w:r w:rsidRPr="00C267C1">
        <w:rPr>
          <w:rFonts w:asciiTheme="minorHAnsi" w:hAnsiTheme="minorHAnsi" w:cstheme="minorHAnsi"/>
          <w:b/>
          <w:noProof/>
          <w:color w:val="948A54" w:themeColor="background2" w:themeShade="80"/>
          <w:sz w:val="36"/>
          <w:szCs w:val="36"/>
        </w:rPr>
        <w:drawing>
          <wp:inline distT="0" distB="0" distL="0" distR="0" wp14:anchorId="6679C0BC" wp14:editId="67E3D757">
            <wp:extent cx="5486400" cy="320040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50C0C25" w14:textId="77777777" w:rsidR="009152BE" w:rsidRPr="00C267C1" w:rsidRDefault="009152BE" w:rsidP="009152BE">
      <w:pPr>
        <w:rPr>
          <w:rFonts w:asciiTheme="minorHAnsi" w:hAnsiTheme="minorHAnsi" w:cstheme="minorHAnsi"/>
          <w:sz w:val="16"/>
        </w:rPr>
      </w:pPr>
      <w:r w:rsidRPr="00C267C1">
        <w:rPr>
          <w:rFonts w:asciiTheme="minorHAnsi" w:hAnsiTheme="minorHAnsi" w:cstheme="minorHAnsi"/>
          <w:sz w:val="16"/>
        </w:rPr>
        <w:t>Disclaimer:</w:t>
      </w:r>
    </w:p>
    <w:p w14:paraId="05199DC3" w14:textId="330B9B4F" w:rsidR="009152BE" w:rsidRPr="00C267C1" w:rsidRDefault="009152BE" w:rsidP="009152BE">
      <w:pPr>
        <w:rPr>
          <w:rFonts w:asciiTheme="minorHAnsi" w:hAnsiTheme="minorHAnsi" w:cstheme="minorHAnsi"/>
          <w:sz w:val="16"/>
        </w:rPr>
      </w:pPr>
      <w:r w:rsidRPr="00C267C1">
        <w:rPr>
          <w:rFonts w:asciiTheme="minorHAnsi" w:hAnsiTheme="minorHAnsi" w:cstheme="minorHAnsi"/>
          <w:sz w:val="16"/>
        </w:rPr>
        <w:t>All data is prepared and made available for general reference purposes only and should not be used or relied upon for specific applications, without independent verification. The City of Houston neither represents, nor warrants the data accuracy, or completeness, nor will the City of Houston accept liability of any kind in conjunction with its use.</w:t>
      </w:r>
    </w:p>
    <w:p w14:paraId="3322D7C9" w14:textId="77777777" w:rsidR="00D977CE" w:rsidRPr="00C267C1" w:rsidRDefault="00D977CE" w:rsidP="00CC2B8A">
      <w:pPr>
        <w:pStyle w:val="TableParagraph"/>
        <w:spacing w:line="237" w:lineRule="auto"/>
        <w:ind w:right="77"/>
        <w:jc w:val="center"/>
        <w:rPr>
          <w:rFonts w:asciiTheme="minorHAnsi" w:hAnsiTheme="minorHAnsi" w:cstheme="minorHAnsi"/>
          <w:b/>
          <w:color w:val="282F2D"/>
        </w:rPr>
      </w:pPr>
    </w:p>
    <w:p w14:paraId="60B5D3C3" w14:textId="2E299F46" w:rsidR="00B073C3" w:rsidRPr="00C267C1" w:rsidRDefault="00D977CE" w:rsidP="00B073C3">
      <w:pPr>
        <w:pStyle w:val="TableParagraph"/>
        <w:spacing w:line="237" w:lineRule="auto"/>
        <w:ind w:right="77"/>
        <w:jc w:val="both"/>
        <w:rPr>
          <w:rFonts w:asciiTheme="minorHAnsi" w:hAnsiTheme="minorHAnsi" w:cstheme="minorHAnsi"/>
          <w:b/>
          <w:color w:val="282F2D"/>
        </w:rPr>
      </w:pPr>
      <w:r w:rsidRPr="00C267C1">
        <w:rPr>
          <w:rFonts w:asciiTheme="minorHAnsi" w:hAnsiTheme="minorHAnsi" w:cstheme="minorHAnsi"/>
          <w:b/>
          <w:color w:val="282F2D"/>
        </w:rPr>
        <w:t xml:space="preserve">Designated </w:t>
      </w:r>
      <w:r w:rsidR="003B47BB" w:rsidRPr="00C267C1">
        <w:rPr>
          <w:rFonts w:asciiTheme="minorHAnsi" w:hAnsiTheme="minorHAnsi" w:cstheme="minorHAnsi"/>
          <w:b/>
          <w:color w:val="282F2D"/>
        </w:rPr>
        <w:t>M</w:t>
      </w:r>
      <w:r w:rsidR="00447EA0" w:rsidRPr="00C267C1">
        <w:rPr>
          <w:rFonts w:asciiTheme="minorHAnsi" w:hAnsiTheme="minorHAnsi" w:cstheme="minorHAnsi"/>
          <w:b/>
          <w:color w:val="282F2D"/>
        </w:rPr>
        <w:t>inimum</w:t>
      </w:r>
    </w:p>
    <w:p w14:paraId="3A89BEED" w14:textId="354E2B31" w:rsidR="00B073C3" w:rsidRPr="00C267C1" w:rsidRDefault="00B073C3" w:rsidP="00B073C3">
      <w:pPr>
        <w:pStyle w:val="TableParagraph"/>
        <w:spacing w:line="237" w:lineRule="auto"/>
        <w:ind w:right="77"/>
        <w:jc w:val="both"/>
        <w:rPr>
          <w:rFonts w:asciiTheme="minorHAnsi" w:hAnsiTheme="minorHAnsi" w:cstheme="minorHAnsi"/>
          <w:color w:val="282F2D"/>
        </w:rPr>
      </w:pPr>
      <w:r w:rsidRPr="00C267C1">
        <w:rPr>
          <w:rFonts w:asciiTheme="minorHAnsi" w:hAnsiTheme="minorHAnsi" w:cstheme="minorHAnsi"/>
          <w:color w:val="282F2D"/>
        </w:rPr>
        <w:t xml:space="preserve">Each Council District will allow a minimum of two affordable housing developments per year. This designation will apply </w:t>
      </w:r>
      <w:r w:rsidR="0031772B" w:rsidRPr="00C267C1">
        <w:rPr>
          <w:rFonts w:asciiTheme="minorHAnsi" w:hAnsiTheme="minorHAnsi" w:cstheme="minorHAnsi"/>
          <w:color w:val="282F2D"/>
        </w:rPr>
        <w:t>for funding</w:t>
      </w:r>
      <w:r w:rsidRPr="00C267C1">
        <w:rPr>
          <w:rFonts w:asciiTheme="minorHAnsi" w:hAnsiTheme="minorHAnsi" w:cstheme="minorHAnsi"/>
          <w:color w:val="282F2D"/>
        </w:rPr>
        <w:t xml:space="preserve"> affordable housing transactions financed directly by HCDD (via HOME, TIRZ, CDBG, CDBG Disaster Recovery) and/or a request for a Resolution of Support or No Objection to be financed with HTCs.  </w:t>
      </w:r>
    </w:p>
    <w:p w14:paraId="516E50D4" w14:textId="77777777" w:rsidR="00B073C3" w:rsidRPr="00C267C1" w:rsidRDefault="00B073C3" w:rsidP="00B073C3">
      <w:pPr>
        <w:pStyle w:val="TableParagraph"/>
        <w:spacing w:line="237" w:lineRule="auto"/>
        <w:ind w:right="77"/>
        <w:jc w:val="both"/>
        <w:rPr>
          <w:rFonts w:asciiTheme="minorHAnsi" w:hAnsiTheme="minorHAnsi" w:cstheme="minorHAnsi"/>
          <w:color w:val="282F2D"/>
        </w:rPr>
      </w:pPr>
    </w:p>
    <w:p w14:paraId="101FC0D7" w14:textId="565B4BA0" w:rsidR="00B073C3" w:rsidRPr="00C267C1" w:rsidRDefault="00B073C3" w:rsidP="00B073C3">
      <w:pPr>
        <w:pStyle w:val="TableParagraph"/>
        <w:spacing w:line="237" w:lineRule="auto"/>
        <w:ind w:right="77"/>
        <w:jc w:val="both"/>
        <w:rPr>
          <w:rFonts w:asciiTheme="minorHAnsi" w:hAnsiTheme="minorHAnsi" w:cstheme="minorHAnsi"/>
          <w:color w:val="282F2D"/>
        </w:rPr>
      </w:pPr>
      <w:r w:rsidRPr="00C267C1">
        <w:rPr>
          <w:rFonts w:asciiTheme="minorHAnsi" w:hAnsiTheme="minorHAnsi" w:cstheme="minorHAnsi"/>
          <w:color w:val="282F2D"/>
        </w:rPr>
        <w:t>To the extent the m</w:t>
      </w:r>
      <w:r w:rsidR="00447EA0" w:rsidRPr="00C267C1">
        <w:rPr>
          <w:rFonts w:asciiTheme="minorHAnsi" w:hAnsiTheme="minorHAnsi" w:cstheme="minorHAnsi"/>
          <w:color w:val="282F2D"/>
        </w:rPr>
        <w:t>inimum</w:t>
      </w:r>
      <w:r w:rsidRPr="00C267C1">
        <w:rPr>
          <w:rFonts w:asciiTheme="minorHAnsi" w:hAnsiTheme="minorHAnsi" w:cstheme="minorHAnsi"/>
          <w:color w:val="282F2D"/>
        </w:rPr>
        <w:t xml:space="preserve"> number of applications </w:t>
      </w:r>
      <w:r w:rsidR="00447EA0" w:rsidRPr="00C267C1">
        <w:rPr>
          <w:rFonts w:asciiTheme="minorHAnsi" w:hAnsiTheme="minorHAnsi" w:cstheme="minorHAnsi"/>
          <w:color w:val="282F2D"/>
        </w:rPr>
        <w:t>are</w:t>
      </w:r>
      <w:r w:rsidRPr="00C267C1">
        <w:rPr>
          <w:rFonts w:asciiTheme="minorHAnsi" w:hAnsiTheme="minorHAnsi" w:cstheme="minorHAnsi"/>
          <w:color w:val="282F2D"/>
        </w:rPr>
        <w:t xml:space="preserve"> met in each council district, HCDD will limit additional approvals for funding or resolutions. To manage multiple applications in each district, HCDD will impose prioritization criteria outlined in its Multifamily Priorities that is updated annually. Note that while a resolution of support or no opposition is no guarantee a project will eventually be funded, it will be treated as a funded transaction until HCD</w:t>
      </w:r>
      <w:r w:rsidR="00090EAC" w:rsidRPr="00C267C1">
        <w:rPr>
          <w:rFonts w:asciiTheme="minorHAnsi" w:hAnsiTheme="minorHAnsi" w:cstheme="minorHAnsi"/>
          <w:color w:val="282F2D"/>
        </w:rPr>
        <w:t>D</w:t>
      </w:r>
      <w:r w:rsidRPr="00C267C1">
        <w:rPr>
          <w:rFonts w:asciiTheme="minorHAnsi" w:hAnsiTheme="minorHAnsi" w:cstheme="minorHAnsi"/>
          <w:color w:val="282F2D"/>
        </w:rPr>
        <w:t xml:space="preserve"> is notified the project </w:t>
      </w:r>
      <w:r w:rsidR="00090EAC" w:rsidRPr="00C267C1">
        <w:rPr>
          <w:rFonts w:asciiTheme="minorHAnsi" w:hAnsiTheme="minorHAnsi" w:cstheme="minorHAnsi"/>
          <w:color w:val="282F2D"/>
        </w:rPr>
        <w:t>will ultimately not receive HTC</w:t>
      </w:r>
      <w:r w:rsidRPr="00C267C1">
        <w:rPr>
          <w:rFonts w:asciiTheme="minorHAnsi" w:hAnsiTheme="minorHAnsi" w:cstheme="minorHAnsi"/>
          <w:color w:val="282F2D"/>
        </w:rPr>
        <w:t xml:space="preserve">. </w:t>
      </w:r>
    </w:p>
    <w:p w14:paraId="2D35BA32" w14:textId="77777777" w:rsidR="00B073C3" w:rsidRPr="00C267C1" w:rsidRDefault="00B073C3" w:rsidP="00B073C3">
      <w:pPr>
        <w:pStyle w:val="TableParagraph"/>
        <w:spacing w:line="237" w:lineRule="auto"/>
        <w:ind w:right="77"/>
        <w:jc w:val="both"/>
        <w:rPr>
          <w:rFonts w:asciiTheme="minorHAnsi" w:hAnsiTheme="minorHAnsi" w:cstheme="minorHAnsi"/>
          <w:color w:val="282F2D"/>
        </w:rPr>
      </w:pPr>
    </w:p>
    <w:p w14:paraId="4473946C" w14:textId="5FF1A855" w:rsidR="00027E98" w:rsidRPr="00C267C1" w:rsidRDefault="00B073C3" w:rsidP="00B073C3">
      <w:pPr>
        <w:pStyle w:val="TableParagraph"/>
        <w:spacing w:line="237" w:lineRule="auto"/>
        <w:ind w:right="77"/>
        <w:jc w:val="both"/>
        <w:rPr>
          <w:rFonts w:asciiTheme="minorHAnsi" w:hAnsiTheme="minorHAnsi" w:cstheme="minorHAnsi"/>
          <w:color w:val="282F2D"/>
        </w:rPr>
      </w:pPr>
      <w:r w:rsidRPr="00C267C1">
        <w:rPr>
          <w:rFonts w:asciiTheme="minorHAnsi" w:hAnsiTheme="minorHAnsi" w:cstheme="minorHAnsi"/>
          <w:color w:val="282F2D"/>
        </w:rPr>
        <w:t xml:space="preserve">When a Council District reaches the minimum number of transactions either directly funded by HCDD or a resolution is provided, HCDD will prioritize </w:t>
      </w:r>
      <w:r w:rsidR="0031772B" w:rsidRPr="00C267C1">
        <w:rPr>
          <w:rFonts w:asciiTheme="minorHAnsi" w:hAnsiTheme="minorHAnsi" w:cstheme="minorHAnsi"/>
          <w:color w:val="282F2D"/>
        </w:rPr>
        <w:t xml:space="preserve">one (1) additional </w:t>
      </w:r>
      <w:r w:rsidRPr="00C267C1">
        <w:rPr>
          <w:rFonts w:asciiTheme="minorHAnsi" w:hAnsiTheme="minorHAnsi" w:cstheme="minorHAnsi"/>
          <w:color w:val="282F2D"/>
        </w:rPr>
        <w:t>applicatio</w:t>
      </w:r>
      <w:r w:rsidR="0031772B" w:rsidRPr="00C267C1">
        <w:rPr>
          <w:rFonts w:asciiTheme="minorHAnsi" w:hAnsiTheme="minorHAnsi" w:cstheme="minorHAnsi"/>
          <w:color w:val="282F2D"/>
        </w:rPr>
        <w:t>n</w:t>
      </w:r>
      <w:r w:rsidRPr="00C267C1">
        <w:rPr>
          <w:rFonts w:asciiTheme="minorHAnsi" w:hAnsiTheme="minorHAnsi" w:cstheme="minorHAnsi"/>
          <w:color w:val="282F2D"/>
        </w:rPr>
        <w:t xml:space="preserve"> for </w:t>
      </w:r>
      <w:r w:rsidR="00D977CE" w:rsidRPr="00C267C1">
        <w:rPr>
          <w:rFonts w:asciiTheme="minorHAnsi" w:hAnsiTheme="minorHAnsi" w:cstheme="minorHAnsi"/>
          <w:color w:val="282F2D"/>
        </w:rPr>
        <w:t>consideration</w:t>
      </w:r>
      <w:r w:rsidRPr="00C267C1">
        <w:rPr>
          <w:rFonts w:asciiTheme="minorHAnsi" w:hAnsiTheme="minorHAnsi" w:cstheme="minorHAnsi"/>
          <w:color w:val="282F2D"/>
        </w:rPr>
        <w:t xml:space="preserve"> within unders</w:t>
      </w:r>
      <w:r w:rsidR="0031772B" w:rsidRPr="00C267C1">
        <w:rPr>
          <w:rFonts w:asciiTheme="minorHAnsi" w:hAnsiTheme="minorHAnsi" w:cstheme="minorHAnsi"/>
          <w:color w:val="282F2D"/>
        </w:rPr>
        <w:t>erve</w:t>
      </w:r>
      <w:r w:rsidRPr="00C267C1">
        <w:rPr>
          <w:rFonts w:asciiTheme="minorHAnsi" w:hAnsiTheme="minorHAnsi" w:cstheme="minorHAnsi"/>
          <w:color w:val="282F2D"/>
        </w:rPr>
        <w:t xml:space="preserve">d Council Districts for that year.  </w:t>
      </w:r>
    </w:p>
    <w:p w14:paraId="08FCFB8C" w14:textId="77777777" w:rsidR="00331705" w:rsidRPr="00C267C1" w:rsidRDefault="00331705" w:rsidP="00331705">
      <w:pPr>
        <w:pStyle w:val="TableParagraph"/>
        <w:numPr>
          <w:ilvl w:val="0"/>
          <w:numId w:val="21"/>
        </w:numPr>
        <w:ind w:right="77"/>
        <w:jc w:val="both"/>
        <w:rPr>
          <w:rFonts w:asciiTheme="minorHAnsi" w:hAnsiTheme="minorHAnsi" w:cstheme="minorHAnsi"/>
          <w:color w:val="282F2D"/>
        </w:rPr>
      </w:pPr>
      <w:r w:rsidRPr="00C267C1">
        <w:rPr>
          <w:rFonts w:asciiTheme="minorHAnsi" w:hAnsiTheme="minorHAnsi" w:cstheme="minorHAnsi"/>
          <w:color w:val="282F2D"/>
        </w:rPr>
        <w:t xml:space="preserve">In Council Districts A, B, D, H, and K, endorsements will only be given to applications located in recognized CRAs with approved Concerted Revitalization Plans (CRP). </w:t>
      </w:r>
    </w:p>
    <w:p w14:paraId="6C4ACF79" w14:textId="77777777" w:rsidR="00331705" w:rsidRPr="00C267C1" w:rsidRDefault="00331705" w:rsidP="00331705">
      <w:pPr>
        <w:pStyle w:val="TableParagraph"/>
        <w:ind w:right="77"/>
        <w:jc w:val="both"/>
        <w:rPr>
          <w:rFonts w:asciiTheme="minorHAnsi" w:hAnsiTheme="minorHAnsi" w:cstheme="minorHAnsi"/>
          <w:color w:val="282F2D"/>
        </w:rPr>
      </w:pPr>
    </w:p>
    <w:p w14:paraId="510EDCE1" w14:textId="4EEAC8C6" w:rsidR="00027E98" w:rsidRPr="00C267C1" w:rsidRDefault="00331705" w:rsidP="00331705">
      <w:pPr>
        <w:pStyle w:val="TableParagraph"/>
        <w:numPr>
          <w:ilvl w:val="0"/>
          <w:numId w:val="21"/>
        </w:numPr>
        <w:ind w:right="77"/>
        <w:jc w:val="both"/>
        <w:rPr>
          <w:rFonts w:asciiTheme="minorHAnsi" w:hAnsiTheme="minorHAnsi" w:cstheme="minorHAnsi"/>
          <w:color w:val="282F2D"/>
        </w:rPr>
      </w:pPr>
      <w:r w:rsidRPr="00C267C1">
        <w:rPr>
          <w:rFonts w:asciiTheme="minorHAnsi" w:hAnsiTheme="minorHAnsi" w:cstheme="minorHAnsi"/>
          <w:color w:val="282F2D"/>
        </w:rPr>
        <w:lastRenderedPageBreak/>
        <w:t>HCDD will prioritize one (1) additional application for consideration within underserved Council Districts for that year.  Council Districts C, E, F, G, I, &amp; J will receive one additional transaction based on the below average number of existing affordable units within the district.</w:t>
      </w:r>
    </w:p>
    <w:p w14:paraId="38EA66EE" w14:textId="137B9620" w:rsidR="00113478" w:rsidRPr="00C267C1" w:rsidRDefault="00113478" w:rsidP="00B073C3">
      <w:pPr>
        <w:pStyle w:val="TableParagraph"/>
        <w:spacing w:line="237" w:lineRule="auto"/>
        <w:ind w:right="77"/>
        <w:jc w:val="both"/>
        <w:rPr>
          <w:rFonts w:asciiTheme="minorHAnsi" w:hAnsiTheme="minorHAnsi" w:cstheme="minorHAnsi"/>
          <w:color w:val="282F2D"/>
        </w:rPr>
      </w:pPr>
    </w:p>
    <w:p w14:paraId="7D575CC0" w14:textId="77777777" w:rsidR="00113478" w:rsidRPr="00C267C1" w:rsidRDefault="00113478" w:rsidP="00113478">
      <w:pPr>
        <w:pStyle w:val="TableParagraph"/>
        <w:spacing w:line="237" w:lineRule="auto"/>
        <w:ind w:right="77"/>
        <w:jc w:val="both"/>
        <w:rPr>
          <w:rFonts w:asciiTheme="minorHAnsi" w:hAnsiTheme="minorHAnsi" w:cstheme="minorHAnsi"/>
          <w:b/>
          <w:color w:val="282F2D"/>
        </w:rPr>
      </w:pPr>
      <w:r w:rsidRPr="00C267C1">
        <w:rPr>
          <w:rFonts w:asciiTheme="minorHAnsi" w:hAnsiTheme="minorHAnsi" w:cstheme="minorHAnsi"/>
          <w:b/>
          <w:color w:val="282F2D"/>
        </w:rPr>
        <w:t>Exclusion of Specialized Housing</w:t>
      </w:r>
    </w:p>
    <w:bookmarkEnd w:id="6"/>
    <w:p w14:paraId="33C295FD" w14:textId="7B2DBA31" w:rsidR="00331705" w:rsidRPr="00C267C1" w:rsidRDefault="00331705" w:rsidP="00C267C1">
      <w:pPr>
        <w:contextualSpacing/>
        <w:rPr>
          <w:rFonts w:asciiTheme="minorHAnsi" w:hAnsiTheme="minorHAnsi" w:cstheme="minorHAnsi"/>
        </w:rPr>
      </w:pPr>
      <w:r w:rsidRPr="00C267C1">
        <w:rPr>
          <w:rFonts w:asciiTheme="minorHAnsi" w:hAnsiTheme="minorHAnsi" w:cstheme="minorHAnsi"/>
        </w:rPr>
        <w:t xml:space="preserve">Consideration will be given to proposed rental projects that target a specific population. These types of housing projects serve a special client base and are not geographically oriented as are the general multifamily housing stock and should not be placed in the same category as all other subsidized multifamily housing. Examples of housing for specialized populations include disabled, homeless, transitional housing and permanent supportive housing. </w:t>
      </w:r>
    </w:p>
    <w:p w14:paraId="4B00E220" w14:textId="123B854B" w:rsidR="00331705" w:rsidRPr="00C267C1" w:rsidRDefault="00331705" w:rsidP="00C267C1">
      <w:pPr>
        <w:pStyle w:val="ListParagraph"/>
        <w:numPr>
          <w:ilvl w:val="0"/>
          <w:numId w:val="34"/>
        </w:numPr>
        <w:contextualSpacing/>
        <w:rPr>
          <w:rFonts w:asciiTheme="minorHAnsi" w:hAnsiTheme="minorHAnsi" w:cstheme="minorHAnsi"/>
        </w:rPr>
      </w:pPr>
      <w:r w:rsidRPr="00C267C1">
        <w:rPr>
          <w:rFonts w:asciiTheme="minorHAnsi" w:hAnsiTheme="minorHAnsi" w:cstheme="minorHAnsi"/>
          <w:color w:val="282F2D"/>
        </w:rPr>
        <w:t>The limitation will not apply to the repair or rehabilitation of existing affordable units. However, rehabilitations converting market rate units to affordable housing will be covered by this limitation.</w:t>
      </w:r>
    </w:p>
    <w:p w14:paraId="073AFF0D" w14:textId="77777777" w:rsidR="00113478" w:rsidRPr="00C267C1" w:rsidRDefault="00113478" w:rsidP="00B073C3">
      <w:pPr>
        <w:pStyle w:val="TableParagraph"/>
        <w:spacing w:line="237" w:lineRule="auto"/>
        <w:ind w:right="77"/>
        <w:jc w:val="both"/>
        <w:rPr>
          <w:rFonts w:asciiTheme="minorHAnsi" w:hAnsiTheme="minorHAnsi" w:cstheme="minorHAnsi"/>
          <w:color w:val="282F2D"/>
        </w:rPr>
      </w:pPr>
    </w:p>
    <w:p w14:paraId="180CDF42" w14:textId="207E33C3" w:rsidR="00D133EE" w:rsidRPr="00C267C1" w:rsidRDefault="00D133EE" w:rsidP="00CC2B8A">
      <w:pPr>
        <w:jc w:val="center"/>
        <w:rPr>
          <w:rFonts w:asciiTheme="minorHAnsi" w:hAnsiTheme="minorHAnsi" w:cstheme="minorHAnsi"/>
          <w:b/>
          <w:bCs/>
          <w:u w:val="single"/>
        </w:rPr>
      </w:pPr>
      <w:r w:rsidRPr="00C267C1">
        <w:rPr>
          <w:rFonts w:asciiTheme="minorHAnsi" w:hAnsiTheme="minorHAnsi" w:cstheme="minorHAnsi"/>
          <w:b/>
          <w:bCs/>
          <w:u w:val="single"/>
        </w:rPr>
        <w:t>Concerted Revitalization Areas</w:t>
      </w:r>
    </w:p>
    <w:p w14:paraId="249481B4" w14:textId="77777777" w:rsidR="00CC2B8A" w:rsidRPr="00C267C1" w:rsidRDefault="00CC2B8A" w:rsidP="00CC2B8A">
      <w:pPr>
        <w:jc w:val="center"/>
        <w:rPr>
          <w:rFonts w:asciiTheme="minorHAnsi" w:hAnsiTheme="minorHAnsi" w:cstheme="minorHAnsi"/>
          <w:b/>
          <w:bCs/>
        </w:rPr>
      </w:pPr>
    </w:p>
    <w:p w14:paraId="0E56AB1B" w14:textId="50AA9465" w:rsidR="00CE0308" w:rsidRPr="00C267C1" w:rsidRDefault="001061BE" w:rsidP="00C267C1">
      <w:pPr>
        <w:rPr>
          <w:rFonts w:asciiTheme="minorHAnsi" w:hAnsiTheme="minorHAnsi" w:cstheme="minorHAnsi"/>
          <w:bCs/>
        </w:rPr>
      </w:pPr>
      <w:r w:rsidRPr="00C267C1">
        <w:rPr>
          <w:rFonts w:asciiTheme="minorHAnsi" w:hAnsiTheme="minorHAnsi" w:cstheme="minorHAnsi"/>
          <w:bCs/>
        </w:rPr>
        <w:t>The TDHCA acknowledges Housing Tax Credits applications located in a distinct area that was once vital and has lapsed into a situation condition requiring concerted revitalization and where a CRP has been developed and executed may be eligible for scoring with in the 9% round. In 20</w:t>
      </w:r>
      <w:r w:rsidR="00F726F4" w:rsidRPr="00C267C1">
        <w:rPr>
          <w:rFonts w:asciiTheme="minorHAnsi" w:hAnsiTheme="minorHAnsi" w:cstheme="minorHAnsi"/>
          <w:bCs/>
        </w:rPr>
        <w:t>20</w:t>
      </w:r>
      <w:r w:rsidRPr="00C267C1">
        <w:rPr>
          <w:rFonts w:asciiTheme="minorHAnsi" w:hAnsiTheme="minorHAnsi" w:cstheme="minorHAnsi"/>
          <w:bCs/>
        </w:rPr>
        <w:t>, HCDD recognizes the following areas as</w:t>
      </w:r>
      <w:r w:rsidR="00537401" w:rsidRPr="00C267C1">
        <w:rPr>
          <w:rFonts w:asciiTheme="minorHAnsi" w:hAnsiTheme="minorHAnsi" w:cstheme="minorHAnsi"/>
          <w:bCs/>
        </w:rPr>
        <w:t xml:space="preserve"> </w:t>
      </w:r>
      <w:r w:rsidR="00F726F4" w:rsidRPr="00C267C1">
        <w:rPr>
          <w:rFonts w:asciiTheme="minorHAnsi" w:hAnsiTheme="minorHAnsi" w:cstheme="minorHAnsi"/>
          <w:bCs/>
        </w:rPr>
        <w:t>CRA</w:t>
      </w:r>
      <w:r w:rsidR="00537401" w:rsidRPr="00C267C1">
        <w:rPr>
          <w:rFonts w:asciiTheme="minorHAnsi" w:hAnsiTheme="minorHAnsi" w:cstheme="minorHAnsi"/>
          <w:bCs/>
        </w:rPr>
        <w:t>s</w:t>
      </w:r>
      <w:r w:rsidRPr="00C267C1">
        <w:rPr>
          <w:rFonts w:asciiTheme="minorHAnsi" w:hAnsiTheme="minorHAnsi" w:cstheme="minorHAnsi"/>
          <w:bCs/>
        </w:rPr>
        <w:t>:</w:t>
      </w:r>
    </w:p>
    <w:p w14:paraId="5A8C601E" w14:textId="5650500A" w:rsidR="001061BE" w:rsidRPr="00C267C1" w:rsidRDefault="001061BE" w:rsidP="00C267C1">
      <w:pPr>
        <w:rPr>
          <w:rFonts w:asciiTheme="minorHAnsi" w:hAnsiTheme="minorHAnsi" w:cstheme="minorHAnsi"/>
          <w:bCs/>
        </w:rPr>
      </w:pPr>
    </w:p>
    <w:p w14:paraId="621B741C" w14:textId="091B7A60" w:rsidR="001061BE" w:rsidRPr="00C267C1" w:rsidRDefault="001061BE" w:rsidP="00C267C1">
      <w:pPr>
        <w:pStyle w:val="ListParagraph"/>
        <w:numPr>
          <w:ilvl w:val="0"/>
          <w:numId w:val="27"/>
        </w:numPr>
        <w:rPr>
          <w:rFonts w:asciiTheme="minorHAnsi" w:hAnsiTheme="minorHAnsi" w:cstheme="minorHAnsi"/>
          <w:bCs/>
        </w:rPr>
      </w:pPr>
      <w:r w:rsidRPr="00C267C1">
        <w:rPr>
          <w:rFonts w:asciiTheme="minorHAnsi" w:hAnsiTheme="minorHAnsi" w:cstheme="minorHAnsi"/>
          <w:bCs/>
        </w:rPr>
        <w:t xml:space="preserve">Complete Communities - Acres Homes, Third Ward, Second Ward, Near Northside and Gulfton. Maps, plans and other information may be found on the city’s planning website located at </w:t>
      </w:r>
      <w:hyperlink r:id="rId9" w:history="1">
        <w:r w:rsidRPr="00C267C1">
          <w:rPr>
            <w:rStyle w:val="Hyperlink"/>
            <w:rFonts w:asciiTheme="minorHAnsi" w:hAnsiTheme="minorHAnsi" w:cstheme="minorHAnsi"/>
            <w:bCs/>
          </w:rPr>
          <w:t>https://www.houstontx.gov/completecommunities/</w:t>
        </w:r>
      </w:hyperlink>
      <w:r w:rsidRPr="00C267C1">
        <w:rPr>
          <w:rFonts w:asciiTheme="minorHAnsi" w:hAnsiTheme="minorHAnsi" w:cstheme="minorHAnsi"/>
          <w:bCs/>
        </w:rPr>
        <w:t xml:space="preserve"> </w:t>
      </w:r>
    </w:p>
    <w:p w14:paraId="7E326E7E" w14:textId="2B0FB5AC" w:rsidR="006718FF" w:rsidRPr="00C267C1" w:rsidRDefault="006718FF" w:rsidP="00C267C1">
      <w:pPr>
        <w:pStyle w:val="ListParagraph"/>
        <w:numPr>
          <w:ilvl w:val="1"/>
          <w:numId w:val="27"/>
        </w:numPr>
        <w:rPr>
          <w:rFonts w:asciiTheme="minorHAnsi" w:hAnsiTheme="minorHAnsi" w:cstheme="minorHAnsi"/>
          <w:bCs/>
        </w:rPr>
      </w:pPr>
      <w:r w:rsidRPr="00C267C1">
        <w:rPr>
          <w:rFonts w:asciiTheme="minorHAnsi" w:hAnsiTheme="minorHAnsi" w:cstheme="minorHAnsi"/>
          <w:bCs/>
        </w:rPr>
        <w:t>Developments within Complete Communities without a City Council approved plan will not be given a Resolution of Support or No Objection.</w:t>
      </w:r>
    </w:p>
    <w:p w14:paraId="601E86F4" w14:textId="5D9F77AA" w:rsidR="001061BE" w:rsidRPr="00C267C1" w:rsidRDefault="005C7477" w:rsidP="00C267C1">
      <w:pPr>
        <w:pStyle w:val="ListParagraph"/>
        <w:numPr>
          <w:ilvl w:val="0"/>
          <w:numId w:val="27"/>
        </w:numPr>
        <w:rPr>
          <w:rFonts w:asciiTheme="minorHAnsi" w:hAnsiTheme="minorHAnsi" w:cstheme="minorHAnsi"/>
          <w:bCs/>
        </w:rPr>
      </w:pPr>
      <w:r w:rsidRPr="00C267C1">
        <w:rPr>
          <w:rFonts w:asciiTheme="minorHAnsi" w:hAnsiTheme="minorHAnsi" w:cstheme="minorHAnsi"/>
          <w:bCs/>
        </w:rPr>
        <w:t>Tax Increment Reinvestment Zone (</w:t>
      </w:r>
      <w:r w:rsidR="001061BE" w:rsidRPr="00C267C1">
        <w:rPr>
          <w:rFonts w:asciiTheme="minorHAnsi" w:hAnsiTheme="minorHAnsi" w:cstheme="minorHAnsi"/>
          <w:bCs/>
        </w:rPr>
        <w:t>TIRZ</w:t>
      </w:r>
      <w:r w:rsidRPr="00C267C1">
        <w:rPr>
          <w:rFonts w:asciiTheme="minorHAnsi" w:hAnsiTheme="minorHAnsi" w:cstheme="minorHAnsi"/>
          <w:bCs/>
        </w:rPr>
        <w:t>)</w:t>
      </w:r>
      <w:r w:rsidR="001061BE" w:rsidRPr="00C267C1">
        <w:rPr>
          <w:rFonts w:asciiTheme="minorHAnsi" w:hAnsiTheme="minorHAnsi" w:cstheme="minorHAnsi"/>
          <w:bCs/>
        </w:rPr>
        <w:t xml:space="preserve"> – The city of Houston hold</w:t>
      </w:r>
      <w:r w:rsidR="00742EC2" w:rsidRPr="00C267C1">
        <w:rPr>
          <w:rFonts w:asciiTheme="minorHAnsi" w:hAnsiTheme="minorHAnsi" w:cstheme="minorHAnsi"/>
          <w:bCs/>
        </w:rPr>
        <w:t>s 27 separate areas created to facilitate economic investment in areas of the city</w:t>
      </w:r>
      <w:r w:rsidR="001061BE" w:rsidRPr="00C267C1">
        <w:rPr>
          <w:rFonts w:asciiTheme="minorHAnsi" w:hAnsiTheme="minorHAnsi" w:cstheme="minorHAnsi"/>
          <w:bCs/>
        </w:rPr>
        <w:t>.</w:t>
      </w:r>
      <w:r w:rsidR="00742EC2" w:rsidRPr="00C267C1">
        <w:rPr>
          <w:rFonts w:asciiTheme="minorHAnsi" w:hAnsiTheme="minorHAnsi" w:cstheme="minorHAnsi"/>
          <w:bCs/>
        </w:rPr>
        <w:t xml:space="preserve"> Additional</w:t>
      </w:r>
      <w:r w:rsidR="001061BE" w:rsidRPr="00C267C1">
        <w:rPr>
          <w:rFonts w:asciiTheme="minorHAnsi" w:hAnsiTheme="minorHAnsi" w:cstheme="minorHAnsi"/>
          <w:bCs/>
        </w:rPr>
        <w:t xml:space="preserve"> information that includes maps, </w:t>
      </w:r>
      <w:r w:rsidR="00742EC2" w:rsidRPr="00C267C1">
        <w:rPr>
          <w:rFonts w:asciiTheme="minorHAnsi" w:hAnsiTheme="minorHAnsi" w:cstheme="minorHAnsi"/>
          <w:bCs/>
        </w:rPr>
        <w:t xml:space="preserve">budgets, plans agendas and other documents may be located at </w:t>
      </w:r>
      <w:hyperlink r:id="rId10" w:history="1">
        <w:r w:rsidR="00742EC2" w:rsidRPr="00C267C1">
          <w:rPr>
            <w:rStyle w:val="Hyperlink"/>
            <w:rFonts w:asciiTheme="minorHAnsi" w:hAnsiTheme="minorHAnsi" w:cstheme="minorHAnsi"/>
            <w:bCs/>
          </w:rPr>
          <w:t>https://www.houstontx.gov/ecodev/tirz.html</w:t>
        </w:r>
      </w:hyperlink>
      <w:r w:rsidR="00742EC2" w:rsidRPr="00C267C1">
        <w:rPr>
          <w:rFonts w:asciiTheme="minorHAnsi" w:hAnsiTheme="minorHAnsi" w:cstheme="minorHAnsi"/>
          <w:bCs/>
        </w:rPr>
        <w:t xml:space="preserve"> </w:t>
      </w:r>
    </w:p>
    <w:p w14:paraId="60928F75" w14:textId="71966EBE" w:rsidR="001061BE" w:rsidRPr="00C267C1" w:rsidRDefault="001061BE" w:rsidP="00C267C1">
      <w:pPr>
        <w:rPr>
          <w:rFonts w:asciiTheme="minorHAnsi" w:hAnsiTheme="minorHAnsi" w:cstheme="minorHAnsi"/>
          <w:bCs/>
        </w:rPr>
      </w:pPr>
    </w:p>
    <w:p w14:paraId="660774D3" w14:textId="67E66AFC" w:rsidR="00395AD9" w:rsidRPr="00C267C1" w:rsidRDefault="001061BE" w:rsidP="00C267C1">
      <w:pPr>
        <w:rPr>
          <w:rFonts w:asciiTheme="minorHAnsi" w:hAnsiTheme="minorHAnsi" w:cstheme="minorHAnsi"/>
          <w:bCs/>
        </w:rPr>
      </w:pPr>
      <w:r w:rsidRPr="00C267C1">
        <w:rPr>
          <w:rFonts w:asciiTheme="minorHAnsi" w:hAnsiTheme="minorHAnsi" w:cstheme="minorHAnsi"/>
          <w:bCs/>
        </w:rPr>
        <w:t>The TDHCA places certain conditions regarding these plans which HCDD has reviewed. However, a</w:t>
      </w:r>
      <w:r w:rsidR="00742EC2" w:rsidRPr="00C267C1">
        <w:rPr>
          <w:rFonts w:asciiTheme="minorHAnsi" w:hAnsiTheme="minorHAnsi" w:cstheme="minorHAnsi"/>
          <w:bCs/>
        </w:rPr>
        <w:t xml:space="preserve">pplicants of </w:t>
      </w:r>
      <w:r w:rsidRPr="00C267C1">
        <w:rPr>
          <w:rFonts w:asciiTheme="minorHAnsi" w:hAnsiTheme="minorHAnsi" w:cstheme="minorHAnsi"/>
          <w:bCs/>
        </w:rPr>
        <w:t xml:space="preserve">HTC </w:t>
      </w:r>
      <w:r w:rsidR="00742EC2" w:rsidRPr="00C267C1">
        <w:rPr>
          <w:rFonts w:asciiTheme="minorHAnsi" w:hAnsiTheme="minorHAnsi" w:cstheme="minorHAnsi"/>
          <w:bCs/>
        </w:rPr>
        <w:t>transactions take responsibility for ensuring these plans meet TDHCA requirements.</w:t>
      </w:r>
      <w:r w:rsidR="00F726F4" w:rsidRPr="00C267C1">
        <w:rPr>
          <w:rFonts w:asciiTheme="minorHAnsi" w:hAnsiTheme="minorHAnsi" w:cstheme="minorHAnsi"/>
          <w:bCs/>
        </w:rPr>
        <w:t xml:space="preserve"> </w:t>
      </w:r>
      <w:r w:rsidR="00742EC2" w:rsidRPr="00C267C1">
        <w:rPr>
          <w:rFonts w:asciiTheme="minorHAnsi" w:hAnsiTheme="minorHAnsi" w:cstheme="minorHAnsi"/>
          <w:bCs/>
        </w:rPr>
        <w:t xml:space="preserve"> </w:t>
      </w:r>
      <w:r w:rsidRPr="00C267C1">
        <w:rPr>
          <w:rFonts w:asciiTheme="minorHAnsi" w:hAnsiTheme="minorHAnsi" w:cstheme="minorHAnsi"/>
          <w:bCs/>
        </w:rPr>
        <w:t xml:space="preserve"> </w:t>
      </w:r>
      <w:r w:rsidR="00742EC2" w:rsidRPr="00C267C1">
        <w:rPr>
          <w:rFonts w:asciiTheme="minorHAnsi" w:hAnsiTheme="minorHAnsi" w:cstheme="minorHAnsi"/>
          <w:bCs/>
        </w:rPr>
        <w:t>If the applicant reque</w:t>
      </w:r>
      <w:r w:rsidR="00EB1DA3" w:rsidRPr="00C267C1">
        <w:rPr>
          <w:rFonts w:asciiTheme="minorHAnsi" w:hAnsiTheme="minorHAnsi" w:cstheme="minorHAnsi"/>
          <w:bCs/>
        </w:rPr>
        <w:t xml:space="preserve">sts a letter of measurable improvements in the CRA for the application, please provide information to cite documented </w:t>
      </w:r>
      <w:r w:rsidR="00395AD9" w:rsidRPr="00C267C1">
        <w:rPr>
          <w:rFonts w:asciiTheme="minorHAnsi" w:hAnsiTheme="minorHAnsi" w:cstheme="minorHAnsi"/>
          <w:bCs/>
        </w:rPr>
        <w:t>investments</w:t>
      </w:r>
      <w:r w:rsidR="00EB1DA3" w:rsidRPr="00C267C1">
        <w:rPr>
          <w:rFonts w:asciiTheme="minorHAnsi" w:hAnsiTheme="minorHAnsi" w:cstheme="minorHAnsi"/>
          <w:bCs/>
        </w:rPr>
        <w:t xml:space="preserve"> within the CRA</w:t>
      </w:r>
      <w:r w:rsidR="002E2D65" w:rsidRPr="00C267C1">
        <w:rPr>
          <w:rFonts w:asciiTheme="minorHAnsi" w:hAnsiTheme="minorHAnsi" w:cstheme="minorHAnsi"/>
          <w:bCs/>
        </w:rPr>
        <w:t xml:space="preserve">. </w:t>
      </w:r>
      <w:r w:rsidR="00EB1DA3" w:rsidRPr="00C267C1">
        <w:rPr>
          <w:rFonts w:asciiTheme="minorHAnsi" w:hAnsiTheme="minorHAnsi" w:cstheme="minorHAnsi"/>
          <w:bCs/>
        </w:rPr>
        <w:t xml:space="preserve"> HCDD will also review internal data to ensure the areas have experienced measurable statistical improvements.  </w:t>
      </w:r>
    </w:p>
    <w:p w14:paraId="0A44427F" w14:textId="005F452C" w:rsidR="00331705" w:rsidRPr="00C267C1" w:rsidRDefault="00331705" w:rsidP="003F1D42">
      <w:pPr>
        <w:jc w:val="center"/>
        <w:rPr>
          <w:rFonts w:asciiTheme="minorHAnsi" w:hAnsiTheme="minorHAnsi" w:cstheme="minorHAnsi"/>
          <w:b/>
          <w:bCs/>
          <w:u w:val="single"/>
        </w:rPr>
      </w:pPr>
    </w:p>
    <w:p w14:paraId="2CE146B1" w14:textId="326FE8D7" w:rsidR="003F1D42" w:rsidRPr="00C267C1" w:rsidRDefault="003F1D42" w:rsidP="003F1D42">
      <w:pPr>
        <w:jc w:val="center"/>
        <w:rPr>
          <w:rFonts w:asciiTheme="minorHAnsi" w:hAnsiTheme="minorHAnsi" w:cstheme="minorHAnsi"/>
          <w:b/>
          <w:bCs/>
          <w:u w:val="single"/>
        </w:rPr>
      </w:pPr>
      <w:r w:rsidRPr="00C267C1">
        <w:rPr>
          <w:rFonts w:asciiTheme="minorHAnsi" w:hAnsiTheme="minorHAnsi" w:cstheme="minorHAnsi"/>
          <w:b/>
          <w:bCs/>
          <w:u w:val="single"/>
        </w:rPr>
        <w:t>Jurisdiction</w:t>
      </w:r>
    </w:p>
    <w:p w14:paraId="5961B650" w14:textId="77777777" w:rsidR="003F1D42" w:rsidRPr="00C267C1" w:rsidRDefault="003F1D42" w:rsidP="003F1D42">
      <w:pPr>
        <w:rPr>
          <w:rFonts w:asciiTheme="minorHAnsi" w:hAnsiTheme="minorHAnsi" w:cstheme="minorHAnsi"/>
          <w:bCs/>
        </w:rPr>
      </w:pPr>
    </w:p>
    <w:p w14:paraId="149BF5E1" w14:textId="18DC6331" w:rsidR="003F1D42" w:rsidRPr="00C267C1" w:rsidRDefault="003F1D42" w:rsidP="003F1D42">
      <w:pPr>
        <w:rPr>
          <w:rFonts w:asciiTheme="minorHAnsi" w:hAnsiTheme="minorHAnsi" w:cstheme="minorHAnsi"/>
          <w:bCs/>
        </w:rPr>
      </w:pPr>
      <w:r w:rsidRPr="00C267C1">
        <w:rPr>
          <w:rFonts w:asciiTheme="minorHAnsi" w:hAnsiTheme="minorHAnsi" w:cstheme="minorHAnsi"/>
          <w:bCs/>
        </w:rPr>
        <w:t>These guidelines apply to all applications made to HCDD for resolutions as required in the Local Government Support (§2306.6710(b)(1)(B)) outlined in the QAP. These include resolutions for applications within the city limits of Houston and areas within the extraterritorial jurisdiction (ETJ)</w:t>
      </w:r>
      <w:r w:rsidR="00BC498D" w:rsidRPr="00C267C1">
        <w:rPr>
          <w:rFonts w:asciiTheme="minorHAnsi" w:hAnsiTheme="minorHAnsi" w:cstheme="minorHAnsi"/>
          <w:bCs/>
        </w:rPr>
        <w:t xml:space="preserve"> of </w:t>
      </w:r>
      <w:r w:rsidR="00BC498D" w:rsidRPr="00C267C1">
        <w:rPr>
          <w:rFonts w:asciiTheme="minorHAnsi" w:hAnsiTheme="minorHAnsi" w:cstheme="minorHAnsi"/>
          <w:bCs/>
        </w:rPr>
        <w:lastRenderedPageBreak/>
        <w:t>Houston</w:t>
      </w:r>
      <w:r w:rsidRPr="00C267C1">
        <w:rPr>
          <w:rFonts w:asciiTheme="minorHAnsi" w:hAnsiTheme="minorHAnsi" w:cstheme="minorHAnsi"/>
          <w:bCs/>
        </w:rPr>
        <w:t xml:space="preserve">. Applications within the ETJ require similar resolutions to be provided by the Commissioner’s Court of Harris County, Montgomery County or Ft. Bend county depending on jurisdiction. </w:t>
      </w:r>
    </w:p>
    <w:p w14:paraId="3E3471E9" w14:textId="77777777" w:rsidR="003F1D42" w:rsidRPr="00C267C1" w:rsidRDefault="003F1D42" w:rsidP="003F1D42">
      <w:pPr>
        <w:rPr>
          <w:rFonts w:asciiTheme="minorHAnsi" w:hAnsiTheme="minorHAnsi" w:cstheme="minorHAnsi"/>
          <w:bCs/>
        </w:rPr>
      </w:pPr>
    </w:p>
    <w:p w14:paraId="48E4F3A8" w14:textId="50B31844" w:rsidR="000525BE" w:rsidRPr="00C267C1" w:rsidRDefault="003F1D42" w:rsidP="00C87CED">
      <w:pPr>
        <w:rPr>
          <w:rFonts w:asciiTheme="minorHAnsi" w:hAnsiTheme="minorHAnsi" w:cstheme="minorHAnsi"/>
          <w:bCs/>
        </w:rPr>
      </w:pPr>
      <w:r w:rsidRPr="00C267C1">
        <w:rPr>
          <w:rFonts w:asciiTheme="minorHAnsi" w:hAnsiTheme="minorHAnsi" w:cstheme="minorHAnsi"/>
          <w:bCs/>
        </w:rPr>
        <w:t xml:space="preserve">To the extent Harris County, Montgomery County or Ft. Bend County </w:t>
      </w:r>
      <w:r w:rsidR="00C87CED" w:rsidRPr="00C267C1">
        <w:rPr>
          <w:rFonts w:asciiTheme="minorHAnsi" w:hAnsiTheme="minorHAnsi" w:cstheme="minorHAnsi"/>
          <w:bCs/>
        </w:rPr>
        <w:t>designates its own C</w:t>
      </w:r>
      <w:r w:rsidR="00537401" w:rsidRPr="00C267C1">
        <w:rPr>
          <w:rFonts w:asciiTheme="minorHAnsi" w:hAnsiTheme="minorHAnsi" w:cstheme="minorHAnsi"/>
          <w:bCs/>
        </w:rPr>
        <w:t>RA</w:t>
      </w:r>
      <w:r w:rsidR="00C87CED" w:rsidRPr="00C267C1">
        <w:rPr>
          <w:rFonts w:asciiTheme="minorHAnsi" w:hAnsiTheme="minorHAnsi" w:cstheme="minorHAnsi"/>
          <w:bCs/>
        </w:rPr>
        <w:t xml:space="preserve"> within the ETJ (based on its own criteria), these will be acknowledged and recognized by HCDD</w:t>
      </w:r>
      <w:r w:rsidR="00D8174B" w:rsidRPr="00C267C1">
        <w:rPr>
          <w:rFonts w:asciiTheme="minorHAnsi" w:hAnsiTheme="minorHAnsi" w:cstheme="minorHAnsi"/>
          <w:bCs/>
        </w:rPr>
        <w:t>. HCDD will</w:t>
      </w:r>
      <w:r w:rsidR="00C87CED" w:rsidRPr="00C267C1">
        <w:rPr>
          <w:rFonts w:asciiTheme="minorHAnsi" w:hAnsiTheme="minorHAnsi" w:cstheme="minorHAnsi"/>
          <w:bCs/>
        </w:rPr>
        <w:t xml:space="preserve"> require</w:t>
      </w:r>
      <w:r w:rsidR="00D8174B" w:rsidRPr="00C267C1">
        <w:rPr>
          <w:rFonts w:asciiTheme="minorHAnsi" w:hAnsiTheme="minorHAnsi" w:cstheme="minorHAnsi"/>
          <w:bCs/>
        </w:rPr>
        <w:t xml:space="preserve">: </w:t>
      </w:r>
    </w:p>
    <w:p w14:paraId="0D44CA03" w14:textId="77777777" w:rsidR="00D8174B" w:rsidRPr="00C267C1" w:rsidRDefault="00D8174B" w:rsidP="00C87CED">
      <w:pPr>
        <w:rPr>
          <w:rFonts w:asciiTheme="minorHAnsi" w:hAnsiTheme="minorHAnsi" w:cstheme="minorHAnsi"/>
          <w:bCs/>
        </w:rPr>
      </w:pPr>
    </w:p>
    <w:p w14:paraId="27C1AFC2" w14:textId="0288F0E5" w:rsidR="000525BE" w:rsidRPr="00C267C1" w:rsidRDefault="000525BE" w:rsidP="000525BE">
      <w:pPr>
        <w:pStyle w:val="ListParagraph"/>
        <w:numPr>
          <w:ilvl w:val="0"/>
          <w:numId w:val="29"/>
        </w:numPr>
        <w:rPr>
          <w:rFonts w:asciiTheme="minorHAnsi" w:hAnsiTheme="minorHAnsi" w:cstheme="minorHAnsi"/>
          <w:bCs/>
        </w:rPr>
      </w:pPr>
      <w:r w:rsidRPr="00C267C1">
        <w:rPr>
          <w:rFonts w:asciiTheme="minorHAnsi" w:hAnsiTheme="minorHAnsi" w:cstheme="minorHAnsi"/>
          <w:bCs/>
        </w:rPr>
        <w:t xml:space="preserve">Verification </w:t>
      </w:r>
      <w:r w:rsidR="00C87CED" w:rsidRPr="00C267C1">
        <w:rPr>
          <w:rFonts w:asciiTheme="minorHAnsi" w:hAnsiTheme="minorHAnsi" w:cstheme="minorHAnsi"/>
          <w:bCs/>
        </w:rPr>
        <w:t xml:space="preserve">these areas have been recognized by the </w:t>
      </w:r>
      <w:r w:rsidR="0084533C" w:rsidRPr="00C267C1">
        <w:rPr>
          <w:rFonts w:asciiTheme="minorHAnsi" w:hAnsiTheme="minorHAnsi" w:cstheme="minorHAnsi"/>
          <w:bCs/>
        </w:rPr>
        <w:t>county’s c</w:t>
      </w:r>
      <w:r w:rsidR="00C87CED" w:rsidRPr="00C267C1">
        <w:rPr>
          <w:rFonts w:asciiTheme="minorHAnsi" w:hAnsiTheme="minorHAnsi" w:cstheme="minorHAnsi"/>
          <w:bCs/>
        </w:rPr>
        <w:t xml:space="preserve">ommissioner’s </w:t>
      </w:r>
      <w:r w:rsidR="0084533C" w:rsidRPr="00C267C1">
        <w:rPr>
          <w:rFonts w:asciiTheme="minorHAnsi" w:hAnsiTheme="minorHAnsi" w:cstheme="minorHAnsi"/>
          <w:bCs/>
        </w:rPr>
        <w:t>c</w:t>
      </w:r>
      <w:r w:rsidR="00C87CED" w:rsidRPr="00C267C1">
        <w:rPr>
          <w:rFonts w:asciiTheme="minorHAnsi" w:hAnsiTheme="minorHAnsi" w:cstheme="minorHAnsi"/>
          <w:bCs/>
        </w:rPr>
        <w:t>ourt as a CRA</w:t>
      </w:r>
      <w:r w:rsidRPr="00C267C1">
        <w:rPr>
          <w:rFonts w:asciiTheme="minorHAnsi" w:hAnsiTheme="minorHAnsi" w:cstheme="minorHAnsi"/>
          <w:bCs/>
        </w:rPr>
        <w:t xml:space="preserve"> by resolution or ordinance</w:t>
      </w:r>
    </w:p>
    <w:p w14:paraId="7666E813" w14:textId="6CE64758" w:rsidR="00C87CED" w:rsidRPr="00C267C1" w:rsidRDefault="000525BE" w:rsidP="000525BE">
      <w:pPr>
        <w:pStyle w:val="ListParagraph"/>
        <w:numPr>
          <w:ilvl w:val="0"/>
          <w:numId w:val="29"/>
        </w:numPr>
        <w:rPr>
          <w:rFonts w:asciiTheme="minorHAnsi" w:hAnsiTheme="minorHAnsi" w:cstheme="minorHAnsi"/>
          <w:bCs/>
        </w:rPr>
      </w:pPr>
      <w:r w:rsidRPr="00C267C1">
        <w:rPr>
          <w:rFonts w:asciiTheme="minorHAnsi" w:hAnsiTheme="minorHAnsi" w:cstheme="minorHAnsi"/>
          <w:bCs/>
        </w:rPr>
        <w:t>N</w:t>
      </w:r>
      <w:r w:rsidR="00C87CED" w:rsidRPr="00C267C1">
        <w:rPr>
          <w:rFonts w:asciiTheme="minorHAnsi" w:hAnsiTheme="minorHAnsi" w:cstheme="minorHAnsi"/>
          <w:bCs/>
        </w:rPr>
        <w:t>otification by the county agency supporting the resolution (Harris County Community Services Department; Montgomery County Community Development; Fort Bend County Community Development Department</w:t>
      </w:r>
      <w:r w:rsidR="0084533C" w:rsidRPr="00C267C1">
        <w:rPr>
          <w:rFonts w:asciiTheme="minorHAnsi" w:hAnsiTheme="minorHAnsi" w:cstheme="minorHAnsi"/>
          <w:bCs/>
        </w:rPr>
        <w:t>) i</w:t>
      </w:r>
      <w:r w:rsidRPr="00C267C1">
        <w:rPr>
          <w:rFonts w:asciiTheme="minorHAnsi" w:hAnsiTheme="minorHAnsi" w:cstheme="minorHAnsi"/>
          <w:bCs/>
        </w:rPr>
        <w:t>t</w:t>
      </w:r>
      <w:r w:rsidR="0084533C" w:rsidRPr="00C267C1">
        <w:rPr>
          <w:rFonts w:asciiTheme="minorHAnsi" w:hAnsiTheme="minorHAnsi" w:cstheme="minorHAnsi"/>
          <w:bCs/>
        </w:rPr>
        <w:t xml:space="preserve"> currently recognizes the area as a CRA. </w:t>
      </w:r>
    </w:p>
    <w:p w14:paraId="594BE2F8" w14:textId="62FFDDA7" w:rsidR="00481618" w:rsidRPr="00C267C1" w:rsidRDefault="00481618" w:rsidP="00EF2609">
      <w:pPr>
        <w:rPr>
          <w:rFonts w:asciiTheme="minorHAnsi" w:hAnsiTheme="minorHAnsi" w:cstheme="minorHAnsi"/>
          <w:bCs/>
        </w:rPr>
      </w:pPr>
    </w:p>
    <w:p w14:paraId="38FF5B5D" w14:textId="77777777" w:rsidR="0041453B" w:rsidRPr="00C267C1" w:rsidRDefault="00481618" w:rsidP="00EF2609">
      <w:pPr>
        <w:rPr>
          <w:rFonts w:asciiTheme="minorHAnsi" w:hAnsiTheme="minorHAnsi" w:cstheme="minorHAnsi"/>
          <w:bCs/>
        </w:rPr>
      </w:pPr>
      <w:r w:rsidRPr="00C267C1">
        <w:rPr>
          <w:rFonts w:asciiTheme="minorHAnsi" w:hAnsiTheme="minorHAnsi" w:cstheme="minorHAnsi"/>
          <w:bCs/>
        </w:rPr>
        <w:t xml:space="preserve">In census tracts with poverty rates higher than 25 percent, </w:t>
      </w:r>
      <w:r w:rsidR="006135C7" w:rsidRPr="00C267C1">
        <w:rPr>
          <w:rFonts w:asciiTheme="minorHAnsi" w:hAnsiTheme="minorHAnsi" w:cstheme="minorHAnsi"/>
          <w:bCs/>
        </w:rPr>
        <w:t xml:space="preserve">the City requires </w:t>
      </w:r>
      <w:r w:rsidRPr="00C267C1">
        <w:rPr>
          <w:rFonts w:asciiTheme="minorHAnsi" w:hAnsiTheme="minorHAnsi" w:cstheme="minorHAnsi"/>
          <w:bCs/>
        </w:rPr>
        <w:t xml:space="preserve">documentation detailing significant </w:t>
      </w:r>
      <w:r w:rsidR="006135C7" w:rsidRPr="00C267C1">
        <w:rPr>
          <w:rFonts w:asciiTheme="minorHAnsi" w:hAnsiTheme="minorHAnsi" w:cstheme="minorHAnsi"/>
          <w:bCs/>
        </w:rPr>
        <w:t>development,</w:t>
      </w:r>
      <w:r w:rsidRPr="00C267C1">
        <w:rPr>
          <w:rFonts w:asciiTheme="minorHAnsi" w:hAnsiTheme="minorHAnsi" w:cstheme="minorHAnsi"/>
          <w:bCs/>
        </w:rPr>
        <w:t xml:space="preserve"> current or planned, towards revitalization efforts</w:t>
      </w:r>
      <w:r w:rsidR="006135C7" w:rsidRPr="00C267C1">
        <w:rPr>
          <w:rFonts w:asciiTheme="minorHAnsi" w:hAnsiTheme="minorHAnsi" w:cstheme="minorHAnsi"/>
          <w:bCs/>
        </w:rPr>
        <w:t xml:space="preserve"> in the designated CRA. The </w:t>
      </w:r>
      <w:r w:rsidR="006018CB" w:rsidRPr="00C267C1">
        <w:rPr>
          <w:rFonts w:asciiTheme="minorHAnsi" w:hAnsiTheme="minorHAnsi" w:cstheme="minorHAnsi"/>
          <w:bCs/>
        </w:rPr>
        <w:t>letter</w:t>
      </w:r>
      <w:r w:rsidR="006135C7" w:rsidRPr="00C267C1">
        <w:rPr>
          <w:rFonts w:asciiTheme="minorHAnsi" w:hAnsiTheme="minorHAnsi" w:cstheme="minorHAnsi"/>
          <w:bCs/>
        </w:rPr>
        <w:t xml:space="preserve"> should address </w:t>
      </w:r>
      <w:r w:rsidR="006018CB" w:rsidRPr="00C267C1">
        <w:rPr>
          <w:rFonts w:asciiTheme="minorHAnsi" w:hAnsiTheme="minorHAnsi" w:cstheme="minorHAnsi"/>
          <w:bCs/>
        </w:rPr>
        <w:t>mobility and infrastructure, economic development, education improvement plans,</w:t>
      </w:r>
      <w:r w:rsidR="006135C7" w:rsidRPr="00C267C1">
        <w:rPr>
          <w:rFonts w:asciiTheme="minorHAnsi" w:hAnsiTheme="minorHAnsi" w:cstheme="minorHAnsi"/>
          <w:bCs/>
        </w:rPr>
        <w:t xml:space="preserve"> </w:t>
      </w:r>
      <w:r w:rsidR="006018CB" w:rsidRPr="00C267C1">
        <w:rPr>
          <w:rFonts w:asciiTheme="minorHAnsi" w:hAnsiTheme="minorHAnsi" w:cstheme="minorHAnsi"/>
          <w:bCs/>
        </w:rPr>
        <w:t xml:space="preserve">health, parks and community amenities, neighborhood character </w:t>
      </w:r>
      <w:r w:rsidR="00943B39" w:rsidRPr="00C267C1">
        <w:rPr>
          <w:rFonts w:asciiTheme="minorHAnsi" w:hAnsiTheme="minorHAnsi" w:cstheme="minorHAnsi"/>
          <w:bCs/>
        </w:rPr>
        <w:t xml:space="preserve">and safety. The letter must also discuss how the improvements will lead to an appropriate area for the placement of housing. </w:t>
      </w:r>
    </w:p>
    <w:p w14:paraId="162A48EB" w14:textId="77777777" w:rsidR="0041453B" w:rsidRPr="00C267C1" w:rsidRDefault="0041453B" w:rsidP="00EF2609">
      <w:pPr>
        <w:rPr>
          <w:rFonts w:asciiTheme="minorHAnsi" w:hAnsiTheme="minorHAnsi" w:cstheme="minorHAnsi"/>
          <w:bCs/>
        </w:rPr>
      </w:pPr>
    </w:p>
    <w:p w14:paraId="0C38D7CF" w14:textId="2E84EFE9" w:rsidR="001B578A" w:rsidRPr="00C267C1" w:rsidRDefault="0041453B" w:rsidP="00EF2609">
      <w:pPr>
        <w:rPr>
          <w:rFonts w:asciiTheme="minorHAnsi" w:hAnsiTheme="minorHAnsi" w:cstheme="minorHAnsi"/>
          <w:bCs/>
        </w:rPr>
      </w:pPr>
      <w:r w:rsidRPr="00C267C1">
        <w:rPr>
          <w:rFonts w:asciiTheme="minorHAnsi" w:hAnsiTheme="minorHAnsi" w:cstheme="minorHAnsi"/>
          <w:bCs/>
        </w:rPr>
        <w:t>D</w:t>
      </w:r>
      <w:r w:rsidR="001B578A" w:rsidRPr="00C267C1">
        <w:rPr>
          <w:rFonts w:asciiTheme="minorHAnsi" w:hAnsiTheme="minorHAnsi" w:cstheme="minorHAnsi"/>
          <w:bCs/>
        </w:rPr>
        <w:t>ocumentati</w:t>
      </w:r>
      <w:r w:rsidR="00CD0293" w:rsidRPr="00C267C1">
        <w:rPr>
          <w:rFonts w:asciiTheme="minorHAnsi" w:hAnsiTheme="minorHAnsi" w:cstheme="minorHAnsi"/>
          <w:bCs/>
        </w:rPr>
        <w:t>on must be submitted to support revitalization efforts</w:t>
      </w:r>
      <w:r w:rsidRPr="00C267C1">
        <w:rPr>
          <w:rFonts w:asciiTheme="minorHAnsi" w:hAnsiTheme="minorHAnsi" w:cstheme="minorHAnsi"/>
          <w:bCs/>
        </w:rPr>
        <w:t>.</w:t>
      </w:r>
      <w:r w:rsidR="001B578A" w:rsidRPr="00C267C1">
        <w:rPr>
          <w:rFonts w:asciiTheme="minorHAnsi" w:hAnsiTheme="minorHAnsi" w:cstheme="minorHAnsi"/>
          <w:bCs/>
        </w:rPr>
        <w:t xml:space="preserve"> </w:t>
      </w:r>
    </w:p>
    <w:p w14:paraId="3CF47B03" w14:textId="77777777" w:rsidR="00D82744" w:rsidRPr="00C267C1" w:rsidRDefault="00D82744" w:rsidP="00EF2609">
      <w:pPr>
        <w:rPr>
          <w:rFonts w:asciiTheme="minorHAnsi" w:hAnsiTheme="minorHAnsi" w:cstheme="minorHAnsi"/>
          <w:bCs/>
        </w:rPr>
      </w:pPr>
    </w:p>
    <w:p w14:paraId="0CE72DDB" w14:textId="06B4DAC9" w:rsidR="00481618" w:rsidRPr="00C267C1" w:rsidRDefault="00943B39" w:rsidP="00EF2609">
      <w:pPr>
        <w:pStyle w:val="ListParagraph"/>
        <w:numPr>
          <w:ilvl w:val="0"/>
          <w:numId w:val="30"/>
        </w:numPr>
        <w:rPr>
          <w:rFonts w:asciiTheme="minorHAnsi" w:hAnsiTheme="minorHAnsi" w:cstheme="minorHAnsi"/>
          <w:bCs/>
        </w:rPr>
      </w:pPr>
      <w:r w:rsidRPr="00C267C1">
        <w:rPr>
          <w:rFonts w:asciiTheme="minorHAnsi" w:hAnsiTheme="minorHAnsi" w:cstheme="minorHAnsi"/>
          <w:bCs/>
        </w:rPr>
        <w:t xml:space="preserve">Attach </w:t>
      </w:r>
      <w:r w:rsidR="001B578A" w:rsidRPr="00C267C1">
        <w:rPr>
          <w:rFonts w:asciiTheme="minorHAnsi" w:hAnsiTheme="minorHAnsi" w:cstheme="minorHAnsi"/>
          <w:bCs/>
        </w:rPr>
        <w:t>detailed improvement plans with</w:t>
      </w:r>
      <w:r w:rsidR="00831454" w:rsidRPr="00C267C1">
        <w:rPr>
          <w:rFonts w:asciiTheme="minorHAnsi" w:hAnsiTheme="minorHAnsi" w:cstheme="minorHAnsi"/>
          <w:bCs/>
        </w:rPr>
        <w:t xml:space="preserve"> </w:t>
      </w:r>
      <w:r w:rsidRPr="00C267C1">
        <w:rPr>
          <w:rFonts w:asciiTheme="minorHAnsi" w:hAnsiTheme="minorHAnsi" w:cstheme="minorHAnsi"/>
          <w:bCs/>
        </w:rPr>
        <w:t>fiscal allocations</w:t>
      </w:r>
      <w:r w:rsidR="001B578A" w:rsidRPr="00C267C1">
        <w:rPr>
          <w:rFonts w:asciiTheme="minorHAnsi" w:hAnsiTheme="minorHAnsi" w:cstheme="minorHAnsi"/>
          <w:bCs/>
        </w:rPr>
        <w:t xml:space="preserve"> with a history of sufficient, documented and committed funding to accomplish its purpose</w:t>
      </w:r>
      <w:r w:rsidR="00D82744" w:rsidRPr="00C267C1">
        <w:rPr>
          <w:rFonts w:asciiTheme="minorHAnsi" w:hAnsiTheme="minorHAnsi" w:cstheme="minorHAnsi"/>
          <w:bCs/>
        </w:rPr>
        <w:t>.</w:t>
      </w:r>
    </w:p>
    <w:p w14:paraId="668F3A52" w14:textId="5E208B5A" w:rsidR="00CC2B8A" w:rsidRPr="00C267C1" w:rsidRDefault="001B578A" w:rsidP="002579CA">
      <w:pPr>
        <w:pStyle w:val="ListParagraph"/>
        <w:numPr>
          <w:ilvl w:val="0"/>
          <w:numId w:val="30"/>
        </w:numPr>
        <w:rPr>
          <w:rFonts w:asciiTheme="minorHAnsi" w:hAnsiTheme="minorHAnsi" w:cstheme="minorHAnsi"/>
          <w:bCs/>
        </w:rPr>
      </w:pPr>
      <w:r w:rsidRPr="00C267C1">
        <w:rPr>
          <w:rFonts w:asciiTheme="minorHAnsi" w:hAnsiTheme="minorHAnsi" w:cstheme="minorHAnsi"/>
          <w:bCs/>
        </w:rPr>
        <w:t>Other documentation</w:t>
      </w:r>
      <w:r w:rsidR="0041453B" w:rsidRPr="00C267C1">
        <w:rPr>
          <w:rFonts w:asciiTheme="minorHAnsi" w:hAnsiTheme="minorHAnsi" w:cstheme="minorHAnsi"/>
          <w:bCs/>
        </w:rPr>
        <w:t>, such as market studies, must be submitted to detail private investments in the area.</w:t>
      </w:r>
    </w:p>
    <w:p w14:paraId="54F29436" w14:textId="77777777" w:rsidR="008164AE" w:rsidRPr="00C267C1" w:rsidRDefault="00D1017A" w:rsidP="004C2C17">
      <w:pPr>
        <w:spacing w:after="200" w:line="276" w:lineRule="auto"/>
        <w:jc w:val="center"/>
        <w:rPr>
          <w:rFonts w:asciiTheme="minorHAnsi" w:hAnsiTheme="minorHAnsi" w:cstheme="minorHAnsi"/>
          <w:b/>
          <w:bCs/>
          <w:u w:val="single"/>
        </w:rPr>
      </w:pPr>
      <w:r w:rsidRPr="00C267C1">
        <w:rPr>
          <w:rFonts w:asciiTheme="minorHAnsi" w:hAnsiTheme="minorHAnsi" w:cstheme="minorHAnsi"/>
          <w:b/>
          <w:bCs/>
          <w:u w:val="single"/>
        </w:rPr>
        <w:t>9</w:t>
      </w:r>
      <w:r w:rsidR="008164AE" w:rsidRPr="00C267C1">
        <w:rPr>
          <w:rFonts w:asciiTheme="minorHAnsi" w:hAnsiTheme="minorHAnsi" w:cstheme="minorHAnsi"/>
          <w:b/>
          <w:bCs/>
          <w:u w:val="single"/>
        </w:rPr>
        <w:t>% Resolutions</w:t>
      </w:r>
      <w:r w:rsidR="00C53796" w:rsidRPr="00C267C1">
        <w:rPr>
          <w:rFonts w:asciiTheme="minorHAnsi" w:hAnsiTheme="minorHAnsi" w:cstheme="minorHAnsi"/>
          <w:b/>
          <w:bCs/>
          <w:u w:val="single"/>
        </w:rPr>
        <w:t xml:space="preserve"> of Support</w:t>
      </w:r>
    </w:p>
    <w:p w14:paraId="792CB8E6" w14:textId="77777777" w:rsidR="00D650A9" w:rsidRPr="00C267C1" w:rsidRDefault="00382F1B" w:rsidP="00D650A9">
      <w:pPr>
        <w:rPr>
          <w:rFonts w:asciiTheme="minorHAnsi" w:hAnsiTheme="minorHAnsi" w:cstheme="minorHAnsi"/>
          <w:bCs/>
        </w:rPr>
      </w:pPr>
      <w:r w:rsidRPr="00C267C1">
        <w:rPr>
          <w:rFonts w:asciiTheme="minorHAnsi" w:hAnsiTheme="minorHAnsi" w:cstheme="minorHAnsi"/>
        </w:rPr>
        <w:t xml:space="preserve">An application that secures </w:t>
      </w:r>
      <w:r w:rsidR="004E2448" w:rsidRPr="00C267C1">
        <w:rPr>
          <w:rFonts w:asciiTheme="minorHAnsi" w:hAnsiTheme="minorHAnsi" w:cstheme="minorHAnsi"/>
        </w:rPr>
        <w:t>c</w:t>
      </w:r>
      <w:r w:rsidRPr="00C267C1">
        <w:rPr>
          <w:rFonts w:asciiTheme="minorHAnsi" w:hAnsiTheme="minorHAnsi" w:cstheme="minorHAnsi"/>
        </w:rPr>
        <w:t xml:space="preserve">ompetitive </w:t>
      </w:r>
      <w:r w:rsidR="004E2448" w:rsidRPr="00C267C1">
        <w:rPr>
          <w:rFonts w:asciiTheme="minorHAnsi" w:hAnsiTheme="minorHAnsi" w:cstheme="minorHAnsi"/>
        </w:rPr>
        <w:t>f</w:t>
      </w:r>
      <w:r w:rsidRPr="00C267C1">
        <w:rPr>
          <w:rFonts w:asciiTheme="minorHAnsi" w:hAnsiTheme="minorHAnsi" w:cstheme="minorHAnsi"/>
        </w:rPr>
        <w:t xml:space="preserve">unds </w:t>
      </w:r>
      <w:r w:rsidR="004E2448" w:rsidRPr="00C267C1">
        <w:rPr>
          <w:rFonts w:asciiTheme="minorHAnsi" w:hAnsiTheme="minorHAnsi" w:cstheme="minorHAnsi"/>
        </w:rPr>
        <w:t>by HCDD will receive</w:t>
      </w:r>
      <w:r w:rsidRPr="00C267C1">
        <w:rPr>
          <w:rFonts w:asciiTheme="minorHAnsi" w:hAnsiTheme="minorHAnsi" w:cstheme="minorHAnsi"/>
        </w:rPr>
        <w:t xml:space="preserve"> a Resolution of Support. </w:t>
      </w:r>
      <w:r w:rsidR="0017122A" w:rsidRPr="00C267C1">
        <w:rPr>
          <w:rFonts w:asciiTheme="minorHAnsi" w:hAnsiTheme="minorHAnsi" w:cstheme="minorHAnsi"/>
        </w:rPr>
        <w:t xml:space="preserve"> </w:t>
      </w:r>
    </w:p>
    <w:p w14:paraId="43BE553A" w14:textId="45D83B28" w:rsidR="0075143D" w:rsidRPr="00C267C1" w:rsidRDefault="00D650A9" w:rsidP="00D650A9">
      <w:pPr>
        <w:rPr>
          <w:rFonts w:asciiTheme="minorHAnsi" w:hAnsiTheme="minorHAnsi" w:cstheme="minorHAnsi"/>
        </w:rPr>
      </w:pPr>
      <w:r w:rsidRPr="00C267C1">
        <w:rPr>
          <w:rFonts w:asciiTheme="minorHAnsi" w:hAnsiTheme="minorHAnsi" w:cstheme="minorHAnsi"/>
        </w:rPr>
        <w:t>R</w:t>
      </w:r>
      <w:r w:rsidR="00A34192" w:rsidRPr="00C267C1">
        <w:rPr>
          <w:rFonts w:asciiTheme="minorHAnsi" w:hAnsiTheme="minorHAnsi" w:cstheme="minorHAnsi"/>
        </w:rPr>
        <w:t>equests for Resolutions of Support in the 20</w:t>
      </w:r>
      <w:r w:rsidR="00D977CE" w:rsidRPr="00C267C1">
        <w:rPr>
          <w:rFonts w:asciiTheme="minorHAnsi" w:hAnsiTheme="minorHAnsi" w:cstheme="minorHAnsi"/>
        </w:rPr>
        <w:t>20</w:t>
      </w:r>
      <w:r w:rsidR="00A34192" w:rsidRPr="00C267C1">
        <w:rPr>
          <w:rFonts w:asciiTheme="minorHAnsi" w:hAnsiTheme="minorHAnsi" w:cstheme="minorHAnsi"/>
        </w:rPr>
        <w:t xml:space="preserve"> 9% application round will undergo the following evaluation. Each request must meet </w:t>
      </w:r>
      <w:r w:rsidR="00B06AD5" w:rsidRPr="00C267C1">
        <w:rPr>
          <w:rFonts w:asciiTheme="minorHAnsi" w:hAnsiTheme="minorHAnsi" w:cstheme="minorHAnsi"/>
        </w:rPr>
        <w:t>M</w:t>
      </w:r>
      <w:r w:rsidR="00A34192" w:rsidRPr="00C267C1">
        <w:rPr>
          <w:rFonts w:asciiTheme="minorHAnsi" w:hAnsiTheme="minorHAnsi" w:cstheme="minorHAnsi"/>
        </w:rPr>
        <w:t xml:space="preserve">inimum </w:t>
      </w:r>
      <w:r w:rsidR="00B06AD5" w:rsidRPr="00C267C1">
        <w:rPr>
          <w:rFonts w:asciiTheme="minorHAnsi" w:hAnsiTheme="minorHAnsi" w:cstheme="minorHAnsi"/>
        </w:rPr>
        <w:t>S</w:t>
      </w:r>
      <w:r w:rsidR="00A34192" w:rsidRPr="00C267C1">
        <w:rPr>
          <w:rFonts w:asciiTheme="minorHAnsi" w:hAnsiTheme="minorHAnsi" w:cstheme="minorHAnsi"/>
        </w:rPr>
        <w:t xml:space="preserve">tandards to qualify for an award. </w:t>
      </w:r>
      <w:r w:rsidR="00F76E98" w:rsidRPr="00C267C1">
        <w:rPr>
          <w:rFonts w:asciiTheme="minorHAnsi" w:hAnsiTheme="minorHAnsi" w:cstheme="minorHAnsi"/>
        </w:rPr>
        <w:t>A</w:t>
      </w:r>
      <w:r w:rsidR="00A34192" w:rsidRPr="00C267C1">
        <w:rPr>
          <w:rFonts w:asciiTheme="minorHAnsi" w:hAnsiTheme="minorHAnsi" w:cstheme="minorHAnsi"/>
        </w:rPr>
        <w:t xml:space="preserve">pplications must meet </w:t>
      </w:r>
      <w:r w:rsidR="003A5E4A" w:rsidRPr="00C267C1">
        <w:rPr>
          <w:rFonts w:asciiTheme="minorHAnsi" w:hAnsiTheme="minorHAnsi" w:cstheme="minorHAnsi"/>
        </w:rPr>
        <w:t>a total of</w:t>
      </w:r>
      <w:r w:rsidR="001273B2" w:rsidRPr="00C267C1">
        <w:rPr>
          <w:rFonts w:asciiTheme="minorHAnsi" w:hAnsiTheme="minorHAnsi" w:cstheme="minorHAnsi"/>
        </w:rPr>
        <w:t xml:space="preserve"> </w:t>
      </w:r>
      <w:r w:rsidR="00B36B98" w:rsidRPr="00C267C1">
        <w:rPr>
          <w:rFonts w:asciiTheme="minorHAnsi" w:hAnsiTheme="minorHAnsi" w:cstheme="minorHAnsi"/>
          <w:b/>
        </w:rPr>
        <w:t>8</w:t>
      </w:r>
      <w:r w:rsidR="001273B2" w:rsidRPr="00C267C1">
        <w:rPr>
          <w:rFonts w:asciiTheme="minorHAnsi" w:hAnsiTheme="minorHAnsi" w:cstheme="minorHAnsi"/>
          <w:b/>
        </w:rPr>
        <w:t xml:space="preserve"> points</w:t>
      </w:r>
      <w:r w:rsidR="001273B2" w:rsidRPr="00C267C1">
        <w:rPr>
          <w:rFonts w:asciiTheme="minorHAnsi" w:hAnsiTheme="minorHAnsi" w:cstheme="minorHAnsi"/>
        </w:rPr>
        <w:t xml:space="preserve"> to receive a Resolution of Support. </w:t>
      </w:r>
      <w:r w:rsidR="003A5E4A" w:rsidRPr="00C267C1">
        <w:rPr>
          <w:rFonts w:asciiTheme="minorHAnsi" w:hAnsiTheme="minorHAnsi" w:cstheme="minorHAnsi"/>
        </w:rPr>
        <w:t xml:space="preserve"> </w:t>
      </w:r>
    </w:p>
    <w:p w14:paraId="77D86DB4" w14:textId="77777777" w:rsidR="00D650A9" w:rsidRPr="00C267C1" w:rsidRDefault="00D650A9" w:rsidP="00D650A9">
      <w:pPr>
        <w:rPr>
          <w:rFonts w:asciiTheme="minorHAnsi" w:hAnsiTheme="minorHAnsi" w:cstheme="minorHAnsi"/>
          <w:bCs/>
          <w:u w:val="single"/>
        </w:rPr>
      </w:pPr>
    </w:p>
    <w:p w14:paraId="44F59836" w14:textId="3B0F75CD" w:rsidR="00A34192" w:rsidRPr="00C267C1" w:rsidRDefault="00E175AB" w:rsidP="00A34192">
      <w:pPr>
        <w:pStyle w:val="ListParagraph"/>
        <w:numPr>
          <w:ilvl w:val="0"/>
          <w:numId w:val="12"/>
        </w:numPr>
        <w:rPr>
          <w:rFonts w:asciiTheme="minorHAnsi" w:hAnsiTheme="minorHAnsi" w:cstheme="minorHAnsi"/>
        </w:rPr>
      </w:pPr>
      <w:r w:rsidRPr="00C267C1">
        <w:rPr>
          <w:rFonts w:asciiTheme="minorHAnsi" w:hAnsiTheme="minorHAnsi" w:cstheme="minorHAnsi"/>
        </w:rPr>
        <w:t>Sites l</w:t>
      </w:r>
      <w:r w:rsidR="003A5E4A" w:rsidRPr="00C267C1">
        <w:rPr>
          <w:rFonts w:asciiTheme="minorHAnsi" w:hAnsiTheme="minorHAnsi" w:cstheme="minorHAnsi"/>
        </w:rPr>
        <w:t>ocated within</w:t>
      </w:r>
      <w:r w:rsidR="00A34192" w:rsidRPr="00C267C1">
        <w:rPr>
          <w:rFonts w:asciiTheme="minorHAnsi" w:hAnsiTheme="minorHAnsi" w:cstheme="minorHAnsi"/>
        </w:rPr>
        <w:t xml:space="preserve"> </w:t>
      </w:r>
      <w:r w:rsidR="003A5E4A" w:rsidRPr="00C267C1">
        <w:rPr>
          <w:rFonts w:asciiTheme="minorHAnsi" w:hAnsiTheme="minorHAnsi" w:cstheme="minorHAnsi"/>
        </w:rPr>
        <w:t xml:space="preserve">Houston </w:t>
      </w:r>
      <w:r w:rsidR="004E2448" w:rsidRPr="00C267C1">
        <w:rPr>
          <w:rFonts w:asciiTheme="minorHAnsi" w:hAnsiTheme="minorHAnsi" w:cstheme="minorHAnsi"/>
        </w:rPr>
        <w:t>c</w:t>
      </w:r>
      <w:r w:rsidR="003A5E4A" w:rsidRPr="00C267C1">
        <w:rPr>
          <w:rFonts w:asciiTheme="minorHAnsi" w:hAnsiTheme="minorHAnsi" w:cstheme="minorHAnsi"/>
        </w:rPr>
        <w:t xml:space="preserve">ity </w:t>
      </w:r>
      <w:r w:rsidR="004E2448" w:rsidRPr="00C267C1">
        <w:rPr>
          <w:rFonts w:asciiTheme="minorHAnsi" w:hAnsiTheme="minorHAnsi" w:cstheme="minorHAnsi"/>
        </w:rPr>
        <w:t>l</w:t>
      </w:r>
      <w:r w:rsidR="003A5E4A" w:rsidRPr="00C267C1">
        <w:rPr>
          <w:rFonts w:asciiTheme="minorHAnsi" w:hAnsiTheme="minorHAnsi" w:cstheme="minorHAnsi"/>
        </w:rPr>
        <w:t>imits</w:t>
      </w:r>
      <w:r w:rsidR="00CC262D" w:rsidRPr="00C267C1">
        <w:rPr>
          <w:rFonts w:asciiTheme="minorHAnsi" w:hAnsiTheme="minorHAnsi" w:cstheme="minorHAnsi"/>
        </w:rPr>
        <w:t xml:space="preserve"> (this excludes sites located within the Houston ETJ)</w:t>
      </w:r>
      <w:r w:rsidR="003A5E4A" w:rsidRPr="00C267C1">
        <w:rPr>
          <w:rFonts w:asciiTheme="minorHAnsi" w:hAnsiTheme="minorHAnsi" w:cstheme="minorHAnsi"/>
        </w:rPr>
        <w:t xml:space="preserve">. – </w:t>
      </w:r>
      <w:r w:rsidR="003A5E4A" w:rsidRPr="00C267C1">
        <w:rPr>
          <w:rFonts w:asciiTheme="minorHAnsi" w:hAnsiTheme="minorHAnsi" w:cstheme="minorHAnsi"/>
          <w:b/>
        </w:rPr>
        <w:t>2 points</w:t>
      </w:r>
    </w:p>
    <w:p w14:paraId="1CDD3958" w14:textId="77777777" w:rsidR="001273B2" w:rsidRPr="00C267C1" w:rsidRDefault="00E175AB" w:rsidP="00A34192">
      <w:pPr>
        <w:pStyle w:val="ListParagraph"/>
        <w:numPr>
          <w:ilvl w:val="0"/>
          <w:numId w:val="12"/>
        </w:numPr>
        <w:rPr>
          <w:rFonts w:asciiTheme="minorHAnsi" w:hAnsiTheme="minorHAnsi" w:cstheme="minorHAnsi"/>
        </w:rPr>
      </w:pPr>
      <w:r w:rsidRPr="00C267C1">
        <w:rPr>
          <w:rFonts w:asciiTheme="minorHAnsi" w:hAnsiTheme="minorHAnsi" w:cstheme="minorHAnsi"/>
        </w:rPr>
        <w:t>Sites l</w:t>
      </w:r>
      <w:r w:rsidR="001273B2" w:rsidRPr="00C267C1">
        <w:rPr>
          <w:rFonts w:asciiTheme="minorHAnsi" w:hAnsiTheme="minorHAnsi" w:cstheme="minorHAnsi"/>
        </w:rPr>
        <w:t xml:space="preserve">ocated within 4 miles of City Hall – </w:t>
      </w:r>
      <w:r w:rsidR="00F263F3" w:rsidRPr="00C267C1">
        <w:rPr>
          <w:rFonts w:asciiTheme="minorHAnsi" w:hAnsiTheme="minorHAnsi" w:cstheme="minorHAnsi"/>
          <w:b/>
        </w:rPr>
        <w:t>1</w:t>
      </w:r>
      <w:r w:rsidR="001273B2" w:rsidRPr="00C267C1">
        <w:rPr>
          <w:rFonts w:asciiTheme="minorHAnsi" w:hAnsiTheme="minorHAnsi" w:cstheme="minorHAnsi"/>
          <w:b/>
        </w:rPr>
        <w:t xml:space="preserve"> point</w:t>
      </w:r>
    </w:p>
    <w:p w14:paraId="50B02B8F" w14:textId="48E5BCA8" w:rsidR="007D1936" w:rsidRPr="00C267C1" w:rsidRDefault="00E175AB" w:rsidP="00F15FA3">
      <w:pPr>
        <w:pStyle w:val="ListParagraph"/>
        <w:numPr>
          <w:ilvl w:val="0"/>
          <w:numId w:val="12"/>
        </w:numPr>
        <w:rPr>
          <w:rFonts w:asciiTheme="minorHAnsi" w:hAnsiTheme="minorHAnsi" w:cstheme="minorHAnsi"/>
        </w:rPr>
      </w:pPr>
      <w:r w:rsidRPr="00C267C1">
        <w:rPr>
          <w:rFonts w:asciiTheme="minorHAnsi" w:hAnsiTheme="minorHAnsi" w:cstheme="minorHAnsi"/>
        </w:rPr>
        <w:t>Sites l</w:t>
      </w:r>
      <w:r w:rsidR="00F263F3" w:rsidRPr="00C267C1">
        <w:rPr>
          <w:rFonts w:asciiTheme="minorHAnsi" w:hAnsiTheme="minorHAnsi" w:cstheme="minorHAnsi"/>
        </w:rPr>
        <w:t xml:space="preserve">ocated within </w:t>
      </w:r>
      <w:r w:rsidR="00D133EE" w:rsidRPr="00C267C1">
        <w:rPr>
          <w:rFonts w:asciiTheme="minorHAnsi" w:hAnsiTheme="minorHAnsi" w:cstheme="minorHAnsi"/>
        </w:rPr>
        <w:t xml:space="preserve">recognized boundaries </w:t>
      </w:r>
      <w:r w:rsidR="007D1936" w:rsidRPr="00C267C1">
        <w:rPr>
          <w:rFonts w:asciiTheme="minorHAnsi" w:hAnsiTheme="minorHAnsi" w:cstheme="minorHAnsi"/>
        </w:rPr>
        <w:t xml:space="preserve">the boundaries of a </w:t>
      </w:r>
      <w:r w:rsidR="00F263F3" w:rsidRPr="00C267C1">
        <w:rPr>
          <w:rFonts w:asciiTheme="minorHAnsi" w:hAnsiTheme="minorHAnsi" w:cstheme="minorHAnsi"/>
        </w:rPr>
        <w:t>Complete Community</w:t>
      </w:r>
      <w:r w:rsidR="00462987" w:rsidRPr="00C267C1">
        <w:rPr>
          <w:rFonts w:asciiTheme="minorHAnsi" w:hAnsiTheme="minorHAnsi" w:cstheme="minorHAnsi"/>
        </w:rPr>
        <w:t xml:space="preserve"> or TIRZ</w:t>
      </w:r>
      <w:r w:rsidR="00340C41" w:rsidRPr="00C267C1">
        <w:rPr>
          <w:rFonts w:asciiTheme="minorHAnsi" w:hAnsiTheme="minorHAnsi" w:cstheme="minorHAnsi"/>
        </w:rPr>
        <w:t xml:space="preserve">. Sites located in </w:t>
      </w:r>
      <w:r w:rsidR="00462987" w:rsidRPr="00C267C1">
        <w:rPr>
          <w:rFonts w:asciiTheme="minorHAnsi" w:hAnsiTheme="minorHAnsi" w:cstheme="minorHAnsi"/>
        </w:rPr>
        <w:t>overlaying areas of a Complete Community or TIRZ will not receive combined points</w:t>
      </w:r>
      <w:r w:rsidR="00340C41" w:rsidRPr="00C267C1">
        <w:rPr>
          <w:rFonts w:asciiTheme="minorHAnsi" w:hAnsiTheme="minorHAnsi" w:cstheme="minorHAnsi"/>
        </w:rPr>
        <w:t xml:space="preserve">.  </w:t>
      </w:r>
      <w:r w:rsidR="00F263F3" w:rsidRPr="00C267C1">
        <w:rPr>
          <w:rFonts w:asciiTheme="minorHAnsi" w:hAnsiTheme="minorHAnsi" w:cstheme="minorHAnsi"/>
        </w:rPr>
        <w:t xml:space="preserve"> – </w:t>
      </w:r>
      <w:r w:rsidR="00F263F3" w:rsidRPr="00C267C1">
        <w:rPr>
          <w:rFonts w:asciiTheme="minorHAnsi" w:hAnsiTheme="minorHAnsi" w:cstheme="minorHAnsi"/>
          <w:b/>
        </w:rPr>
        <w:t>2 points</w:t>
      </w:r>
    </w:p>
    <w:p w14:paraId="0AE67452" w14:textId="77777777" w:rsidR="00E175AB" w:rsidRPr="00C267C1" w:rsidRDefault="00E175AB" w:rsidP="00E175AB">
      <w:pPr>
        <w:pStyle w:val="ListParagraph"/>
        <w:numPr>
          <w:ilvl w:val="0"/>
          <w:numId w:val="12"/>
        </w:numPr>
        <w:rPr>
          <w:rFonts w:asciiTheme="minorHAnsi" w:hAnsiTheme="minorHAnsi" w:cstheme="minorHAnsi"/>
        </w:rPr>
      </w:pPr>
      <w:r w:rsidRPr="00C267C1">
        <w:rPr>
          <w:rFonts w:asciiTheme="minorHAnsi" w:hAnsiTheme="minorHAnsi" w:cstheme="minorHAnsi"/>
        </w:rPr>
        <w:t>Sites located within an underserved area described as the following:</w:t>
      </w:r>
    </w:p>
    <w:p w14:paraId="46091461" w14:textId="11A01012" w:rsidR="00E175AB" w:rsidRPr="00C267C1" w:rsidRDefault="00E175AB" w:rsidP="00E175AB">
      <w:pPr>
        <w:pStyle w:val="ListParagraph"/>
        <w:numPr>
          <w:ilvl w:val="2"/>
          <w:numId w:val="12"/>
        </w:numPr>
        <w:rPr>
          <w:rFonts w:asciiTheme="minorHAnsi" w:hAnsiTheme="minorHAnsi" w:cstheme="minorHAnsi"/>
        </w:rPr>
      </w:pPr>
      <w:r w:rsidRPr="00C267C1">
        <w:rPr>
          <w:rFonts w:asciiTheme="minorHAnsi" w:hAnsiTheme="minorHAnsi" w:cstheme="minorHAnsi"/>
        </w:rPr>
        <w:t xml:space="preserve">within a census tract that has no other affordable housing development funded with HTC – </w:t>
      </w:r>
      <w:r w:rsidRPr="00C267C1">
        <w:rPr>
          <w:rFonts w:asciiTheme="minorHAnsi" w:hAnsiTheme="minorHAnsi" w:cstheme="minorHAnsi"/>
          <w:b/>
        </w:rPr>
        <w:t>1 point</w:t>
      </w:r>
      <w:r w:rsidRPr="00C267C1">
        <w:rPr>
          <w:rFonts w:asciiTheme="minorHAnsi" w:hAnsiTheme="minorHAnsi" w:cstheme="minorHAnsi"/>
        </w:rPr>
        <w:t xml:space="preserve"> </w:t>
      </w:r>
    </w:p>
    <w:p w14:paraId="655F959E" w14:textId="2C76BB6B" w:rsidR="00480C16" w:rsidRPr="00C267C1" w:rsidRDefault="00E175AB" w:rsidP="00E175AB">
      <w:pPr>
        <w:pStyle w:val="ListParagraph"/>
        <w:numPr>
          <w:ilvl w:val="2"/>
          <w:numId w:val="12"/>
        </w:numPr>
        <w:rPr>
          <w:rFonts w:asciiTheme="minorHAnsi" w:hAnsiTheme="minorHAnsi" w:cstheme="minorHAnsi"/>
        </w:rPr>
      </w:pPr>
      <w:r w:rsidRPr="00C267C1">
        <w:rPr>
          <w:rFonts w:asciiTheme="minorHAnsi" w:hAnsiTheme="minorHAnsi" w:cstheme="minorHAnsi"/>
        </w:rPr>
        <w:t>wit</w:t>
      </w:r>
      <w:r w:rsidR="00B21AAE" w:rsidRPr="00C267C1">
        <w:rPr>
          <w:rFonts w:asciiTheme="minorHAnsi" w:hAnsiTheme="minorHAnsi" w:cstheme="minorHAnsi"/>
        </w:rPr>
        <w:t>h</w:t>
      </w:r>
      <w:r w:rsidRPr="00C267C1">
        <w:rPr>
          <w:rFonts w:asciiTheme="minorHAnsi" w:hAnsiTheme="minorHAnsi" w:cstheme="minorHAnsi"/>
        </w:rPr>
        <w:t>in a census tract if the contiguous census tracts do not have any affordable housing developments funded with HTC that is less than 15-year old (200</w:t>
      </w:r>
      <w:r w:rsidR="003F359F" w:rsidRPr="00C267C1">
        <w:rPr>
          <w:rFonts w:asciiTheme="minorHAnsi" w:hAnsiTheme="minorHAnsi" w:cstheme="minorHAnsi"/>
        </w:rPr>
        <w:t>4</w:t>
      </w:r>
      <w:r w:rsidRPr="00C267C1">
        <w:rPr>
          <w:rFonts w:asciiTheme="minorHAnsi" w:hAnsiTheme="minorHAnsi" w:cstheme="minorHAnsi"/>
        </w:rPr>
        <w:t xml:space="preserve"> or after) – </w:t>
      </w:r>
      <w:r w:rsidRPr="00C267C1">
        <w:rPr>
          <w:rFonts w:asciiTheme="minorHAnsi" w:hAnsiTheme="minorHAnsi" w:cstheme="minorHAnsi"/>
          <w:b/>
        </w:rPr>
        <w:t>2 points</w:t>
      </w:r>
    </w:p>
    <w:p w14:paraId="1EFBBA13" w14:textId="77777777" w:rsidR="00B21AAE" w:rsidRPr="00C267C1" w:rsidRDefault="00B21AAE" w:rsidP="00B21AAE">
      <w:pPr>
        <w:pStyle w:val="ListParagraph"/>
        <w:numPr>
          <w:ilvl w:val="0"/>
          <w:numId w:val="12"/>
        </w:numPr>
        <w:rPr>
          <w:rFonts w:asciiTheme="minorHAnsi" w:hAnsiTheme="minorHAnsi" w:cstheme="minorHAnsi"/>
        </w:rPr>
      </w:pPr>
      <w:r w:rsidRPr="00C267C1">
        <w:rPr>
          <w:rFonts w:asciiTheme="minorHAnsi" w:hAnsiTheme="minorHAnsi" w:cstheme="minorHAnsi"/>
        </w:rPr>
        <w:t>Sites that that promote access to mass transportations options described as the following:</w:t>
      </w:r>
    </w:p>
    <w:p w14:paraId="3A1E1F0E" w14:textId="3ACF7282" w:rsidR="00B21AAE" w:rsidRPr="00C267C1" w:rsidRDefault="004D005F" w:rsidP="00B21AAE">
      <w:pPr>
        <w:pStyle w:val="ListParagraph"/>
        <w:numPr>
          <w:ilvl w:val="2"/>
          <w:numId w:val="12"/>
        </w:numPr>
        <w:rPr>
          <w:rFonts w:asciiTheme="minorHAnsi" w:hAnsiTheme="minorHAnsi" w:cstheme="minorHAnsi"/>
        </w:rPr>
      </w:pPr>
      <w:r w:rsidRPr="00C267C1">
        <w:rPr>
          <w:rFonts w:asciiTheme="minorHAnsi" w:hAnsiTheme="minorHAnsi" w:cstheme="minorHAnsi"/>
        </w:rPr>
        <w:lastRenderedPageBreak/>
        <w:t>Site</w:t>
      </w:r>
      <w:r w:rsidR="00E175AB" w:rsidRPr="00C267C1">
        <w:rPr>
          <w:rFonts w:asciiTheme="minorHAnsi" w:hAnsiTheme="minorHAnsi" w:cstheme="minorHAnsi"/>
        </w:rPr>
        <w:t>s</w:t>
      </w:r>
      <w:r w:rsidRPr="00C267C1">
        <w:rPr>
          <w:rFonts w:asciiTheme="minorHAnsi" w:hAnsiTheme="minorHAnsi" w:cstheme="minorHAnsi"/>
        </w:rPr>
        <w:t xml:space="preserve"> locat</w:t>
      </w:r>
      <w:r w:rsidR="00E175AB" w:rsidRPr="00C267C1">
        <w:rPr>
          <w:rFonts w:asciiTheme="minorHAnsi" w:hAnsiTheme="minorHAnsi" w:cstheme="minorHAnsi"/>
        </w:rPr>
        <w:t>ed</w:t>
      </w:r>
      <w:r w:rsidRPr="00C267C1">
        <w:rPr>
          <w:rFonts w:asciiTheme="minorHAnsi" w:hAnsiTheme="minorHAnsi" w:cstheme="minorHAnsi"/>
        </w:rPr>
        <w:t xml:space="preserve"> within</w:t>
      </w:r>
      <w:r w:rsidR="00B06AD5" w:rsidRPr="00C267C1">
        <w:rPr>
          <w:rFonts w:asciiTheme="minorHAnsi" w:hAnsiTheme="minorHAnsi" w:cstheme="minorHAnsi"/>
        </w:rPr>
        <w:t xml:space="preserve"> a</w:t>
      </w:r>
      <w:r w:rsidRPr="00C267C1">
        <w:rPr>
          <w:rFonts w:asciiTheme="minorHAnsi" w:hAnsiTheme="minorHAnsi" w:cstheme="minorHAnsi"/>
        </w:rPr>
        <w:t xml:space="preserve"> </w:t>
      </w:r>
      <w:r w:rsidR="00C957BB" w:rsidRPr="00C267C1">
        <w:rPr>
          <w:rFonts w:asciiTheme="minorHAnsi" w:hAnsiTheme="minorHAnsi" w:cstheme="minorHAnsi"/>
        </w:rPr>
        <w:t xml:space="preserve">¼ </w:t>
      </w:r>
      <w:r w:rsidRPr="00C267C1">
        <w:rPr>
          <w:rFonts w:asciiTheme="minorHAnsi" w:hAnsiTheme="minorHAnsi" w:cstheme="minorHAnsi"/>
        </w:rPr>
        <w:t xml:space="preserve">mile </w:t>
      </w:r>
      <w:r w:rsidR="003B0615" w:rsidRPr="00C267C1">
        <w:rPr>
          <w:rFonts w:asciiTheme="minorHAnsi" w:hAnsiTheme="minorHAnsi" w:cstheme="minorHAnsi"/>
        </w:rPr>
        <w:t>of any</w:t>
      </w:r>
      <w:r w:rsidRPr="00C267C1">
        <w:rPr>
          <w:rFonts w:asciiTheme="minorHAnsi" w:hAnsiTheme="minorHAnsi" w:cstheme="minorHAnsi"/>
        </w:rPr>
        <w:t xml:space="preserve"> </w:t>
      </w:r>
      <w:r w:rsidR="002E4081" w:rsidRPr="00C267C1">
        <w:rPr>
          <w:rFonts w:asciiTheme="minorHAnsi" w:hAnsiTheme="minorHAnsi" w:cstheme="minorHAnsi"/>
        </w:rPr>
        <w:t xml:space="preserve">public transportation </w:t>
      </w:r>
      <w:r w:rsidRPr="00C267C1">
        <w:rPr>
          <w:rFonts w:asciiTheme="minorHAnsi" w:hAnsiTheme="minorHAnsi" w:cstheme="minorHAnsi"/>
        </w:rPr>
        <w:t>stop</w:t>
      </w:r>
      <w:r w:rsidR="0081305E" w:rsidRPr="00C267C1">
        <w:rPr>
          <w:rFonts w:asciiTheme="minorHAnsi" w:hAnsiTheme="minorHAnsi" w:cstheme="minorHAnsi"/>
        </w:rPr>
        <w:t xml:space="preserve"> </w:t>
      </w:r>
      <w:r w:rsidRPr="00C267C1">
        <w:rPr>
          <w:rFonts w:asciiTheme="minorHAnsi" w:hAnsiTheme="minorHAnsi" w:cstheme="minorHAnsi"/>
        </w:rPr>
        <w:t xml:space="preserve">– </w:t>
      </w:r>
      <w:r w:rsidRPr="00C267C1">
        <w:rPr>
          <w:rFonts w:asciiTheme="minorHAnsi" w:hAnsiTheme="minorHAnsi" w:cstheme="minorHAnsi"/>
          <w:b/>
        </w:rPr>
        <w:t>1 point</w:t>
      </w:r>
    </w:p>
    <w:p w14:paraId="309A1FBF" w14:textId="77777777" w:rsidR="00741106" w:rsidRPr="00C267C1" w:rsidRDefault="00741106" w:rsidP="00841D71">
      <w:pPr>
        <w:pStyle w:val="ListParagraph"/>
        <w:numPr>
          <w:ilvl w:val="2"/>
          <w:numId w:val="12"/>
        </w:numPr>
        <w:rPr>
          <w:rFonts w:asciiTheme="minorHAnsi" w:hAnsiTheme="minorHAnsi" w:cstheme="minorHAnsi"/>
        </w:rPr>
      </w:pPr>
      <w:r w:rsidRPr="00C267C1">
        <w:rPr>
          <w:rFonts w:asciiTheme="minorHAnsi" w:hAnsiTheme="minorHAnsi" w:cstheme="minorHAnsi"/>
        </w:rPr>
        <w:t>Site</w:t>
      </w:r>
      <w:r w:rsidR="00E175AB" w:rsidRPr="00C267C1">
        <w:rPr>
          <w:rFonts w:asciiTheme="minorHAnsi" w:hAnsiTheme="minorHAnsi" w:cstheme="minorHAnsi"/>
        </w:rPr>
        <w:t>s</w:t>
      </w:r>
      <w:r w:rsidRPr="00C267C1">
        <w:rPr>
          <w:rFonts w:asciiTheme="minorHAnsi" w:hAnsiTheme="minorHAnsi" w:cstheme="minorHAnsi"/>
        </w:rPr>
        <w:t xml:space="preserve"> locat</w:t>
      </w:r>
      <w:r w:rsidR="00E175AB" w:rsidRPr="00C267C1">
        <w:rPr>
          <w:rFonts w:asciiTheme="minorHAnsi" w:hAnsiTheme="minorHAnsi" w:cstheme="minorHAnsi"/>
        </w:rPr>
        <w:t>ed</w:t>
      </w:r>
      <w:r w:rsidRPr="00C267C1">
        <w:rPr>
          <w:rFonts w:asciiTheme="minorHAnsi" w:hAnsiTheme="minorHAnsi" w:cstheme="minorHAnsi"/>
        </w:rPr>
        <w:t xml:space="preserve"> within a ¼ mile to high frequency </w:t>
      </w:r>
      <w:r w:rsidR="002E4081" w:rsidRPr="00C267C1">
        <w:rPr>
          <w:rFonts w:asciiTheme="minorHAnsi" w:hAnsiTheme="minorHAnsi" w:cstheme="minorHAnsi"/>
        </w:rPr>
        <w:t xml:space="preserve">public transportation </w:t>
      </w:r>
      <w:r w:rsidRPr="00C267C1">
        <w:rPr>
          <w:rFonts w:asciiTheme="minorHAnsi" w:hAnsiTheme="minorHAnsi" w:cstheme="minorHAnsi"/>
        </w:rPr>
        <w:t xml:space="preserve">stop. High frequency transit service is defined as service arriving every 15 minutes on average from 6 am to 8 p.m. seven days a week – </w:t>
      </w:r>
      <w:r w:rsidRPr="00C267C1">
        <w:rPr>
          <w:rFonts w:asciiTheme="minorHAnsi" w:hAnsiTheme="minorHAnsi" w:cstheme="minorHAnsi"/>
          <w:b/>
        </w:rPr>
        <w:t>2 points</w:t>
      </w:r>
    </w:p>
    <w:p w14:paraId="23C0BD0D" w14:textId="77777777" w:rsidR="00841D71" w:rsidRPr="00C267C1" w:rsidRDefault="00E175AB" w:rsidP="00644B73">
      <w:pPr>
        <w:pStyle w:val="ListParagraph"/>
        <w:numPr>
          <w:ilvl w:val="0"/>
          <w:numId w:val="12"/>
        </w:numPr>
        <w:rPr>
          <w:rFonts w:asciiTheme="minorHAnsi" w:hAnsiTheme="minorHAnsi" w:cstheme="minorHAnsi"/>
        </w:rPr>
      </w:pPr>
      <w:r w:rsidRPr="00C267C1">
        <w:rPr>
          <w:rFonts w:asciiTheme="minorHAnsi" w:hAnsiTheme="minorHAnsi" w:cstheme="minorHAnsi"/>
        </w:rPr>
        <w:t>Sites with</w:t>
      </w:r>
      <w:r w:rsidR="00841D71" w:rsidRPr="00C267C1">
        <w:rPr>
          <w:rFonts w:asciiTheme="minorHAnsi" w:hAnsiTheme="minorHAnsi" w:cstheme="minorHAnsi"/>
        </w:rPr>
        <w:t xml:space="preserve"> reduced </w:t>
      </w:r>
      <w:r w:rsidRPr="00C267C1">
        <w:rPr>
          <w:rFonts w:asciiTheme="minorHAnsi" w:hAnsiTheme="minorHAnsi" w:cstheme="minorHAnsi"/>
        </w:rPr>
        <w:t>p</w:t>
      </w:r>
      <w:r w:rsidR="00644B73" w:rsidRPr="00C267C1">
        <w:rPr>
          <w:rFonts w:asciiTheme="minorHAnsi" w:hAnsiTheme="minorHAnsi" w:cstheme="minorHAnsi"/>
        </w:rPr>
        <w:t>overty concentration</w:t>
      </w:r>
      <w:r w:rsidR="00841D71" w:rsidRPr="00C267C1">
        <w:rPr>
          <w:rFonts w:asciiTheme="minorHAnsi" w:hAnsiTheme="minorHAnsi" w:cstheme="minorHAnsi"/>
        </w:rPr>
        <w:t xml:space="preserve"> described as the following </w:t>
      </w:r>
    </w:p>
    <w:p w14:paraId="34216D52" w14:textId="77777777" w:rsidR="00841D71" w:rsidRPr="00C267C1" w:rsidRDefault="00841D71" w:rsidP="00841D71">
      <w:pPr>
        <w:pStyle w:val="ListParagraph"/>
        <w:numPr>
          <w:ilvl w:val="2"/>
          <w:numId w:val="12"/>
        </w:numPr>
        <w:rPr>
          <w:rFonts w:asciiTheme="minorHAnsi" w:hAnsiTheme="minorHAnsi" w:cstheme="minorHAnsi"/>
        </w:rPr>
      </w:pPr>
      <w:r w:rsidRPr="00C267C1">
        <w:rPr>
          <w:rFonts w:asciiTheme="minorHAnsi" w:hAnsiTheme="minorHAnsi" w:cstheme="minorHAnsi"/>
        </w:rPr>
        <w:t>S</w:t>
      </w:r>
      <w:r w:rsidR="00644B73" w:rsidRPr="00C267C1">
        <w:rPr>
          <w:rFonts w:asciiTheme="minorHAnsi" w:hAnsiTheme="minorHAnsi" w:cstheme="minorHAnsi"/>
        </w:rPr>
        <w:t xml:space="preserve">ite census tract is less than 15% - </w:t>
      </w:r>
      <w:r w:rsidR="00644B73" w:rsidRPr="00C267C1">
        <w:rPr>
          <w:rFonts w:asciiTheme="minorHAnsi" w:hAnsiTheme="minorHAnsi" w:cstheme="minorHAnsi"/>
          <w:b/>
        </w:rPr>
        <w:t>2 points</w:t>
      </w:r>
    </w:p>
    <w:p w14:paraId="016BB537" w14:textId="77777777" w:rsidR="001F388C" w:rsidRPr="00C267C1" w:rsidRDefault="00E175AB" w:rsidP="00841D71">
      <w:pPr>
        <w:pStyle w:val="ListParagraph"/>
        <w:numPr>
          <w:ilvl w:val="2"/>
          <w:numId w:val="12"/>
        </w:numPr>
        <w:rPr>
          <w:rFonts w:asciiTheme="minorHAnsi" w:hAnsiTheme="minorHAnsi" w:cstheme="minorHAnsi"/>
          <w:b/>
        </w:rPr>
      </w:pPr>
      <w:r w:rsidRPr="00C267C1">
        <w:rPr>
          <w:rFonts w:asciiTheme="minorHAnsi" w:hAnsiTheme="minorHAnsi" w:cstheme="minorHAnsi"/>
        </w:rPr>
        <w:t>Site</w:t>
      </w:r>
      <w:r w:rsidR="00841D71" w:rsidRPr="00C267C1">
        <w:rPr>
          <w:rFonts w:asciiTheme="minorHAnsi" w:hAnsiTheme="minorHAnsi" w:cstheme="minorHAnsi"/>
        </w:rPr>
        <w:t xml:space="preserve"> </w:t>
      </w:r>
      <w:r w:rsidR="001F388C" w:rsidRPr="00C267C1">
        <w:rPr>
          <w:rFonts w:asciiTheme="minorHAnsi" w:hAnsiTheme="minorHAnsi" w:cstheme="minorHAnsi"/>
        </w:rPr>
        <w:t xml:space="preserve">census tract is less than </w:t>
      </w:r>
      <w:r w:rsidR="00735E1B" w:rsidRPr="00C267C1">
        <w:rPr>
          <w:rFonts w:asciiTheme="minorHAnsi" w:hAnsiTheme="minorHAnsi" w:cstheme="minorHAnsi"/>
        </w:rPr>
        <w:t>20</w:t>
      </w:r>
      <w:r w:rsidR="001F388C" w:rsidRPr="00C267C1">
        <w:rPr>
          <w:rFonts w:asciiTheme="minorHAnsi" w:hAnsiTheme="minorHAnsi" w:cstheme="minorHAnsi"/>
        </w:rPr>
        <w:t xml:space="preserve">% - </w:t>
      </w:r>
      <w:r w:rsidR="001F388C" w:rsidRPr="00C267C1">
        <w:rPr>
          <w:rFonts w:asciiTheme="minorHAnsi" w:hAnsiTheme="minorHAnsi" w:cstheme="minorHAnsi"/>
          <w:b/>
        </w:rPr>
        <w:t>1 point</w:t>
      </w:r>
    </w:p>
    <w:p w14:paraId="1C13AAF7" w14:textId="3095578D" w:rsidR="003A5E4A" w:rsidRPr="00C267C1" w:rsidRDefault="001273B2" w:rsidP="00A34192">
      <w:pPr>
        <w:pStyle w:val="ListParagraph"/>
        <w:numPr>
          <w:ilvl w:val="0"/>
          <w:numId w:val="12"/>
        </w:numPr>
        <w:rPr>
          <w:rFonts w:asciiTheme="minorHAnsi" w:hAnsiTheme="minorHAnsi" w:cstheme="minorHAnsi"/>
        </w:rPr>
      </w:pPr>
      <w:r w:rsidRPr="00C267C1">
        <w:rPr>
          <w:rFonts w:asciiTheme="minorHAnsi" w:hAnsiTheme="minorHAnsi" w:cstheme="minorHAnsi"/>
        </w:rPr>
        <w:t>Site</w:t>
      </w:r>
      <w:r w:rsidR="00E175AB" w:rsidRPr="00C267C1">
        <w:rPr>
          <w:rFonts w:asciiTheme="minorHAnsi" w:hAnsiTheme="minorHAnsi" w:cstheme="minorHAnsi"/>
        </w:rPr>
        <w:t>s</w:t>
      </w:r>
      <w:r w:rsidRPr="00C267C1">
        <w:rPr>
          <w:rFonts w:asciiTheme="minorHAnsi" w:hAnsiTheme="minorHAnsi" w:cstheme="minorHAnsi"/>
        </w:rPr>
        <w:t xml:space="preserve"> zoned to and A or B rated school based on Children at Risk rankings</w:t>
      </w:r>
      <w:r w:rsidR="00B36B98" w:rsidRPr="00C267C1">
        <w:rPr>
          <w:rFonts w:asciiTheme="minorHAnsi" w:hAnsiTheme="minorHAnsi" w:cstheme="minorHAnsi"/>
        </w:rPr>
        <w:t xml:space="preserve"> </w:t>
      </w:r>
    </w:p>
    <w:p w14:paraId="3992911C" w14:textId="77777777" w:rsidR="001273B2" w:rsidRPr="00C267C1" w:rsidRDefault="001273B2" w:rsidP="001273B2">
      <w:pPr>
        <w:pStyle w:val="ListParagraph"/>
        <w:numPr>
          <w:ilvl w:val="2"/>
          <w:numId w:val="12"/>
        </w:numPr>
        <w:rPr>
          <w:rFonts w:asciiTheme="minorHAnsi" w:hAnsiTheme="minorHAnsi" w:cstheme="minorHAnsi"/>
        </w:rPr>
      </w:pPr>
      <w:r w:rsidRPr="00C267C1">
        <w:rPr>
          <w:rFonts w:asciiTheme="minorHAnsi" w:hAnsiTheme="minorHAnsi" w:cstheme="minorHAnsi"/>
        </w:rPr>
        <w:t xml:space="preserve">Elementary School – </w:t>
      </w:r>
      <w:r w:rsidRPr="00C267C1">
        <w:rPr>
          <w:rFonts w:asciiTheme="minorHAnsi" w:hAnsiTheme="minorHAnsi" w:cstheme="minorHAnsi"/>
          <w:b/>
        </w:rPr>
        <w:t>2 points</w:t>
      </w:r>
    </w:p>
    <w:p w14:paraId="46D5BA2C" w14:textId="77777777" w:rsidR="001273B2" w:rsidRPr="00C267C1" w:rsidRDefault="001273B2" w:rsidP="001273B2">
      <w:pPr>
        <w:pStyle w:val="ListParagraph"/>
        <w:numPr>
          <w:ilvl w:val="2"/>
          <w:numId w:val="12"/>
        </w:numPr>
        <w:rPr>
          <w:rFonts w:asciiTheme="minorHAnsi" w:hAnsiTheme="minorHAnsi" w:cstheme="minorHAnsi"/>
        </w:rPr>
      </w:pPr>
      <w:r w:rsidRPr="00C267C1">
        <w:rPr>
          <w:rFonts w:asciiTheme="minorHAnsi" w:hAnsiTheme="minorHAnsi" w:cstheme="minorHAnsi"/>
        </w:rPr>
        <w:t xml:space="preserve">Middle School – </w:t>
      </w:r>
      <w:r w:rsidRPr="00C267C1">
        <w:rPr>
          <w:rFonts w:asciiTheme="minorHAnsi" w:hAnsiTheme="minorHAnsi" w:cstheme="minorHAnsi"/>
          <w:b/>
        </w:rPr>
        <w:t>2 points</w:t>
      </w:r>
    </w:p>
    <w:p w14:paraId="105407CC" w14:textId="77777777" w:rsidR="004D005F" w:rsidRPr="00C267C1" w:rsidRDefault="001273B2" w:rsidP="00841D71">
      <w:pPr>
        <w:pStyle w:val="ListParagraph"/>
        <w:numPr>
          <w:ilvl w:val="2"/>
          <w:numId w:val="12"/>
        </w:numPr>
        <w:rPr>
          <w:rFonts w:asciiTheme="minorHAnsi" w:hAnsiTheme="minorHAnsi" w:cstheme="minorHAnsi"/>
          <w:b/>
        </w:rPr>
      </w:pPr>
      <w:r w:rsidRPr="00C267C1">
        <w:rPr>
          <w:rFonts w:asciiTheme="minorHAnsi" w:hAnsiTheme="minorHAnsi" w:cstheme="minorHAnsi"/>
        </w:rPr>
        <w:t xml:space="preserve">High School – </w:t>
      </w:r>
      <w:r w:rsidRPr="00C267C1">
        <w:rPr>
          <w:rFonts w:asciiTheme="minorHAnsi" w:hAnsiTheme="minorHAnsi" w:cstheme="minorHAnsi"/>
          <w:b/>
        </w:rPr>
        <w:t>2 points</w:t>
      </w:r>
    </w:p>
    <w:p w14:paraId="0D59D512" w14:textId="4368C7E8" w:rsidR="00FD31F1" w:rsidRPr="00C267C1" w:rsidRDefault="00FD31F1" w:rsidP="00D40B88">
      <w:pPr>
        <w:pStyle w:val="ListParagraph"/>
        <w:numPr>
          <w:ilvl w:val="0"/>
          <w:numId w:val="12"/>
        </w:numPr>
        <w:rPr>
          <w:rFonts w:asciiTheme="minorHAnsi" w:hAnsiTheme="minorHAnsi" w:cstheme="minorHAnsi"/>
        </w:rPr>
      </w:pPr>
      <w:r w:rsidRPr="00C267C1">
        <w:rPr>
          <w:rFonts w:asciiTheme="minorHAnsi" w:hAnsiTheme="minorHAnsi" w:cstheme="minorHAnsi"/>
        </w:rPr>
        <w:t>Developments which promote a m</w:t>
      </w:r>
      <w:r w:rsidR="00072E96" w:rsidRPr="00C267C1">
        <w:rPr>
          <w:rFonts w:asciiTheme="minorHAnsi" w:hAnsiTheme="minorHAnsi" w:cstheme="minorHAnsi"/>
        </w:rPr>
        <w:t>ixed income composition</w:t>
      </w:r>
      <w:r w:rsidRPr="00C267C1">
        <w:rPr>
          <w:rFonts w:asciiTheme="minorHAnsi" w:hAnsiTheme="minorHAnsi" w:cstheme="minorHAnsi"/>
        </w:rPr>
        <w:t xml:space="preserve"> whereas:</w:t>
      </w:r>
    </w:p>
    <w:p w14:paraId="04755F52" w14:textId="179E7469" w:rsidR="00072E96" w:rsidRPr="00C267C1" w:rsidRDefault="00FD31F1" w:rsidP="00FD31F1">
      <w:pPr>
        <w:pStyle w:val="ListParagraph"/>
        <w:numPr>
          <w:ilvl w:val="2"/>
          <w:numId w:val="12"/>
        </w:numPr>
        <w:rPr>
          <w:rFonts w:asciiTheme="minorHAnsi" w:hAnsiTheme="minorHAnsi" w:cstheme="minorHAnsi"/>
        </w:rPr>
      </w:pPr>
      <w:r w:rsidRPr="00C267C1">
        <w:rPr>
          <w:rFonts w:asciiTheme="minorHAnsi" w:hAnsiTheme="minorHAnsi" w:cstheme="minorHAnsi"/>
        </w:rPr>
        <w:t xml:space="preserve"> A minimum of 10% </w:t>
      </w:r>
      <w:r w:rsidR="00F2028E" w:rsidRPr="00C267C1">
        <w:rPr>
          <w:rFonts w:asciiTheme="minorHAnsi" w:hAnsiTheme="minorHAnsi" w:cstheme="minorHAnsi"/>
        </w:rPr>
        <w:t xml:space="preserve">of the units to be unrestricted - </w:t>
      </w:r>
      <w:r w:rsidR="00F2028E" w:rsidRPr="00C267C1">
        <w:rPr>
          <w:rFonts w:asciiTheme="minorHAnsi" w:hAnsiTheme="minorHAnsi" w:cstheme="minorHAnsi"/>
          <w:b/>
        </w:rPr>
        <w:t>1 point</w:t>
      </w:r>
    </w:p>
    <w:p w14:paraId="1FE4625E" w14:textId="755B1EF2" w:rsidR="00F2028E" w:rsidRPr="00C267C1" w:rsidRDefault="00F2028E" w:rsidP="00FD31F1">
      <w:pPr>
        <w:pStyle w:val="ListParagraph"/>
        <w:numPr>
          <w:ilvl w:val="2"/>
          <w:numId w:val="12"/>
        </w:numPr>
        <w:rPr>
          <w:rFonts w:asciiTheme="minorHAnsi" w:hAnsiTheme="minorHAnsi" w:cstheme="minorHAnsi"/>
        </w:rPr>
      </w:pPr>
      <w:r w:rsidRPr="00C267C1">
        <w:rPr>
          <w:rFonts w:asciiTheme="minorHAnsi" w:hAnsiTheme="minorHAnsi" w:cstheme="minorHAnsi"/>
        </w:rPr>
        <w:t xml:space="preserve">A minimum of 20% of the units to be unrestricted - </w:t>
      </w:r>
      <w:r w:rsidRPr="00C267C1">
        <w:rPr>
          <w:rFonts w:asciiTheme="minorHAnsi" w:hAnsiTheme="minorHAnsi" w:cstheme="minorHAnsi"/>
          <w:b/>
        </w:rPr>
        <w:t>2 points</w:t>
      </w:r>
    </w:p>
    <w:p w14:paraId="7C9F40BE" w14:textId="2322239D" w:rsidR="004E2448" w:rsidRPr="00C267C1" w:rsidRDefault="009841CF" w:rsidP="00B47E48">
      <w:pPr>
        <w:pStyle w:val="ListParagraph"/>
        <w:numPr>
          <w:ilvl w:val="0"/>
          <w:numId w:val="12"/>
        </w:numPr>
        <w:rPr>
          <w:rFonts w:asciiTheme="minorHAnsi" w:hAnsiTheme="minorHAnsi" w:cstheme="minorHAnsi"/>
        </w:rPr>
      </w:pPr>
      <w:r w:rsidRPr="00C267C1">
        <w:rPr>
          <w:rFonts w:asciiTheme="minorHAnsi" w:hAnsiTheme="minorHAnsi" w:cstheme="minorHAnsi"/>
        </w:rPr>
        <w:t xml:space="preserve"> Written documentation</w:t>
      </w:r>
      <w:r w:rsidR="00A67BF8" w:rsidRPr="00C267C1">
        <w:rPr>
          <w:rFonts w:asciiTheme="minorHAnsi" w:hAnsiTheme="minorHAnsi" w:cstheme="minorHAnsi"/>
        </w:rPr>
        <w:t xml:space="preserve"> of community support that the applicant has sought, received and implemented (if needed) </w:t>
      </w:r>
      <w:r w:rsidR="00A67BF8" w:rsidRPr="00C267C1">
        <w:rPr>
          <w:rFonts w:asciiTheme="minorHAnsi" w:hAnsiTheme="minorHAnsi" w:cstheme="minorHAnsi"/>
          <w:shd w:val="clear" w:color="auto" w:fill="FFFFFF"/>
        </w:rPr>
        <w:t>views and recommendations</w:t>
      </w:r>
      <w:r w:rsidR="00C90BFB" w:rsidRPr="00C267C1">
        <w:rPr>
          <w:rFonts w:asciiTheme="minorHAnsi" w:hAnsiTheme="minorHAnsi" w:cstheme="minorHAnsi"/>
          <w:shd w:val="clear" w:color="auto" w:fill="FFFFFF"/>
        </w:rPr>
        <w:t>, regarding the proposed project,</w:t>
      </w:r>
      <w:r w:rsidR="00A67BF8" w:rsidRPr="00C267C1">
        <w:rPr>
          <w:rFonts w:asciiTheme="minorHAnsi" w:hAnsiTheme="minorHAnsi" w:cstheme="minorHAnsi"/>
          <w:shd w:val="clear" w:color="auto" w:fill="FFFFFF"/>
        </w:rPr>
        <w:t xml:space="preserve"> from </w:t>
      </w:r>
      <w:r w:rsidR="00F038F5" w:rsidRPr="00C267C1">
        <w:rPr>
          <w:rFonts w:asciiTheme="minorHAnsi" w:hAnsiTheme="minorHAnsi" w:cstheme="minorHAnsi"/>
          <w:shd w:val="clear" w:color="auto" w:fill="FFFFFF"/>
        </w:rPr>
        <w:t xml:space="preserve">locally organized groups formed to primarily serve the interest </w:t>
      </w:r>
      <w:r w:rsidR="00A67BF8" w:rsidRPr="00C267C1">
        <w:rPr>
          <w:rFonts w:asciiTheme="minorHAnsi" w:hAnsiTheme="minorHAnsi" w:cstheme="minorHAnsi"/>
          <w:shd w:val="clear" w:color="auto" w:fill="FFFFFF"/>
        </w:rPr>
        <w:t xml:space="preserve">of the </w:t>
      </w:r>
      <w:r w:rsidR="00113D15" w:rsidRPr="00C267C1">
        <w:rPr>
          <w:rFonts w:asciiTheme="minorHAnsi" w:hAnsiTheme="minorHAnsi" w:cstheme="minorHAnsi"/>
          <w:shd w:val="clear" w:color="auto" w:fill="FFFFFF"/>
        </w:rPr>
        <w:t>proposed neighborhood.</w:t>
      </w:r>
      <w:r w:rsidR="00A67BF8" w:rsidRPr="00C267C1">
        <w:rPr>
          <w:rFonts w:asciiTheme="minorHAnsi" w:hAnsiTheme="minorHAnsi" w:cstheme="minorHAnsi"/>
          <w:shd w:val="clear" w:color="auto" w:fill="FFFFFF"/>
        </w:rPr>
        <w:t xml:space="preserve"> </w:t>
      </w:r>
      <w:r w:rsidR="00F038F5" w:rsidRPr="00C267C1">
        <w:rPr>
          <w:rFonts w:asciiTheme="minorHAnsi" w:hAnsiTheme="minorHAnsi" w:cstheme="minorHAnsi"/>
          <w:shd w:val="clear" w:color="auto" w:fill="FFFFFF"/>
        </w:rPr>
        <w:t xml:space="preserve">Letters of support will not be accepted from organizations directly affiliated with the project. </w:t>
      </w:r>
      <w:r w:rsidR="00000358" w:rsidRPr="00C267C1">
        <w:rPr>
          <w:rFonts w:asciiTheme="minorHAnsi" w:hAnsiTheme="minorHAnsi" w:cstheme="minorHAnsi"/>
          <w:shd w:val="clear" w:color="auto" w:fill="FFFFFF"/>
        </w:rPr>
        <w:t>Examples may include</w:t>
      </w:r>
      <w:r w:rsidR="00D40B88" w:rsidRPr="00C267C1">
        <w:rPr>
          <w:rFonts w:asciiTheme="minorHAnsi" w:hAnsiTheme="minorHAnsi" w:cstheme="minorHAnsi"/>
          <w:shd w:val="clear" w:color="auto" w:fill="FFFFFF"/>
        </w:rPr>
        <w:t xml:space="preserve"> </w:t>
      </w:r>
      <w:r w:rsidR="00D40B88" w:rsidRPr="00C267C1">
        <w:rPr>
          <w:rFonts w:asciiTheme="minorHAnsi" w:hAnsiTheme="minorHAnsi" w:cstheme="minorHAnsi"/>
        </w:rPr>
        <w:t xml:space="preserve">notice of </w:t>
      </w:r>
      <w:r w:rsidR="001273B2" w:rsidRPr="00C267C1">
        <w:rPr>
          <w:rFonts w:asciiTheme="minorHAnsi" w:hAnsiTheme="minorHAnsi" w:cstheme="minorHAnsi"/>
        </w:rPr>
        <w:t>support from neighborhood associations</w:t>
      </w:r>
      <w:r w:rsidR="004E2448" w:rsidRPr="00C267C1">
        <w:rPr>
          <w:rFonts w:asciiTheme="minorHAnsi" w:hAnsiTheme="minorHAnsi" w:cstheme="minorHAnsi"/>
        </w:rPr>
        <w:t>,</w:t>
      </w:r>
      <w:r w:rsidR="001273B2" w:rsidRPr="00C267C1">
        <w:rPr>
          <w:rFonts w:asciiTheme="minorHAnsi" w:hAnsiTheme="minorHAnsi" w:cstheme="minorHAnsi"/>
        </w:rPr>
        <w:t xml:space="preserve"> community organizations</w:t>
      </w:r>
      <w:r w:rsidR="00C90BFB" w:rsidRPr="00C267C1">
        <w:rPr>
          <w:rFonts w:asciiTheme="minorHAnsi" w:hAnsiTheme="minorHAnsi" w:cstheme="minorHAnsi"/>
        </w:rPr>
        <w:t xml:space="preserve"> </w:t>
      </w:r>
      <w:r w:rsidR="001273B2" w:rsidRPr="00C267C1">
        <w:rPr>
          <w:rFonts w:asciiTheme="minorHAnsi" w:hAnsiTheme="minorHAnsi" w:cstheme="minorHAnsi"/>
        </w:rPr>
        <w:t>and</w:t>
      </w:r>
      <w:r w:rsidR="004E2448" w:rsidRPr="00C267C1">
        <w:rPr>
          <w:rFonts w:asciiTheme="minorHAnsi" w:hAnsiTheme="minorHAnsi" w:cstheme="minorHAnsi"/>
        </w:rPr>
        <w:t>/or</w:t>
      </w:r>
      <w:r w:rsidR="001273B2" w:rsidRPr="00C267C1">
        <w:rPr>
          <w:rFonts w:asciiTheme="minorHAnsi" w:hAnsiTheme="minorHAnsi" w:cstheme="minorHAnsi"/>
        </w:rPr>
        <w:t xml:space="preserve"> civic organizations</w:t>
      </w:r>
      <w:r w:rsidR="00D40B88" w:rsidRPr="00C267C1">
        <w:rPr>
          <w:rFonts w:asciiTheme="minorHAnsi" w:hAnsiTheme="minorHAnsi" w:cstheme="minorHAnsi"/>
        </w:rPr>
        <w:t xml:space="preserve">. </w:t>
      </w:r>
      <w:r w:rsidR="00FB25B1" w:rsidRPr="00C267C1">
        <w:rPr>
          <w:rFonts w:asciiTheme="minorHAnsi" w:hAnsiTheme="minorHAnsi" w:cstheme="minorHAnsi"/>
          <w:b/>
        </w:rPr>
        <w:t>1</w:t>
      </w:r>
      <w:r w:rsidR="00437363" w:rsidRPr="00C267C1">
        <w:rPr>
          <w:rFonts w:asciiTheme="minorHAnsi" w:hAnsiTheme="minorHAnsi" w:cstheme="minorHAnsi"/>
          <w:b/>
        </w:rPr>
        <w:t xml:space="preserve"> point</w:t>
      </w:r>
    </w:p>
    <w:p w14:paraId="0483C179" w14:textId="77777777" w:rsidR="004E2448" w:rsidRPr="00C267C1" w:rsidRDefault="004E2448" w:rsidP="00B47E48">
      <w:pPr>
        <w:rPr>
          <w:rFonts w:asciiTheme="minorHAnsi" w:hAnsiTheme="minorHAnsi" w:cstheme="minorHAnsi"/>
        </w:rPr>
      </w:pPr>
    </w:p>
    <w:p w14:paraId="3BB12FF1" w14:textId="77777777" w:rsidR="00CC2B8A" w:rsidRPr="00C267C1" w:rsidRDefault="00D133EE" w:rsidP="00B47E48">
      <w:pPr>
        <w:rPr>
          <w:rFonts w:asciiTheme="minorHAnsi" w:hAnsiTheme="minorHAnsi" w:cstheme="minorHAnsi"/>
        </w:rPr>
      </w:pPr>
      <w:r w:rsidRPr="00C267C1">
        <w:rPr>
          <w:rFonts w:asciiTheme="minorHAnsi" w:hAnsiTheme="minorHAnsi" w:cstheme="minorHAnsi"/>
          <w:b/>
        </w:rPr>
        <w:t xml:space="preserve">Concerted Revitalization Area </w:t>
      </w:r>
      <w:r w:rsidR="0013484D" w:rsidRPr="00C267C1">
        <w:rPr>
          <w:rFonts w:asciiTheme="minorHAnsi" w:hAnsiTheme="minorHAnsi" w:cstheme="minorHAnsi"/>
          <w:b/>
        </w:rPr>
        <w:t>Tie Breakers</w:t>
      </w:r>
    </w:p>
    <w:p w14:paraId="4DA20085" w14:textId="55B63462" w:rsidR="00B47E48" w:rsidRPr="00C267C1" w:rsidRDefault="0013484D" w:rsidP="00B47E48">
      <w:pPr>
        <w:rPr>
          <w:rFonts w:asciiTheme="minorHAnsi" w:hAnsiTheme="minorHAnsi" w:cstheme="minorHAnsi"/>
        </w:rPr>
      </w:pPr>
      <w:r w:rsidRPr="00C267C1">
        <w:rPr>
          <w:rFonts w:asciiTheme="minorHAnsi" w:hAnsiTheme="minorHAnsi" w:cstheme="minorHAnsi"/>
        </w:rPr>
        <w:t xml:space="preserve">HCDD </w:t>
      </w:r>
      <w:r w:rsidR="00D133EE" w:rsidRPr="00C267C1">
        <w:rPr>
          <w:rFonts w:asciiTheme="minorHAnsi" w:hAnsiTheme="minorHAnsi" w:cstheme="minorHAnsi"/>
        </w:rPr>
        <w:t>may</w:t>
      </w:r>
      <w:r w:rsidRPr="00C267C1">
        <w:rPr>
          <w:rFonts w:asciiTheme="minorHAnsi" w:hAnsiTheme="minorHAnsi" w:cstheme="minorHAnsi"/>
        </w:rPr>
        <w:t xml:space="preserve"> only provide one resolution explicitly identifying a development as contributing more than any other development towards the revitalization efforts taking place </w:t>
      </w:r>
      <w:r w:rsidR="00841D71" w:rsidRPr="00C267C1">
        <w:rPr>
          <w:rFonts w:asciiTheme="minorHAnsi" w:hAnsiTheme="minorHAnsi" w:cstheme="minorHAnsi"/>
        </w:rPr>
        <w:t>i</w:t>
      </w:r>
      <w:r w:rsidR="00537401" w:rsidRPr="00C267C1">
        <w:rPr>
          <w:rFonts w:asciiTheme="minorHAnsi" w:hAnsiTheme="minorHAnsi" w:cstheme="minorHAnsi"/>
        </w:rPr>
        <w:t>n</w:t>
      </w:r>
      <w:r w:rsidR="00841D71" w:rsidRPr="00C267C1">
        <w:rPr>
          <w:rFonts w:asciiTheme="minorHAnsi" w:hAnsiTheme="minorHAnsi" w:cstheme="minorHAnsi"/>
        </w:rPr>
        <w:t xml:space="preserve"> </w:t>
      </w:r>
      <w:r w:rsidRPr="00C267C1">
        <w:rPr>
          <w:rFonts w:asciiTheme="minorHAnsi" w:hAnsiTheme="minorHAnsi" w:cstheme="minorHAnsi"/>
        </w:rPr>
        <w:t>CRA</w:t>
      </w:r>
      <w:r w:rsidR="00537401" w:rsidRPr="00C267C1">
        <w:rPr>
          <w:rFonts w:asciiTheme="minorHAnsi" w:hAnsiTheme="minorHAnsi" w:cstheme="minorHAnsi"/>
        </w:rPr>
        <w:t>s</w:t>
      </w:r>
      <w:r w:rsidRPr="00C267C1">
        <w:rPr>
          <w:rFonts w:asciiTheme="minorHAnsi" w:hAnsiTheme="minorHAnsi" w:cstheme="minorHAnsi"/>
        </w:rPr>
        <w:t xml:space="preserve"> (individually a “</w:t>
      </w:r>
      <w:r w:rsidRPr="00C267C1">
        <w:rPr>
          <w:rFonts w:asciiTheme="minorHAnsi" w:hAnsiTheme="minorHAnsi" w:cstheme="minorHAnsi"/>
          <w:b/>
        </w:rPr>
        <w:t>Priority Resolution</w:t>
      </w:r>
      <w:r w:rsidRPr="00C267C1">
        <w:rPr>
          <w:rFonts w:asciiTheme="minorHAnsi" w:hAnsiTheme="minorHAnsi" w:cstheme="minorHAnsi"/>
        </w:rPr>
        <w:t xml:space="preserve">”).  If </w:t>
      </w:r>
      <w:r w:rsidR="00462987" w:rsidRPr="00C267C1">
        <w:rPr>
          <w:rFonts w:asciiTheme="minorHAnsi" w:hAnsiTheme="minorHAnsi" w:cstheme="minorHAnsi"/>
        </w:rPr>
        <w:t xml:space="preserve">multiple </w:t>
      </w:r>
      <w:r w:rsidRPr="00C267C1">
        <w:rPr>
          <w:rFonts w:asciiTheme="minorHAnsi" w:hAnsiTheme="minorHAnsi" w:cstheme="minorHAnsi"/>
        </w:rPr>
        <w:t>application</w:t>
      </w:r>
      <w:r w:rsidR="00462987" w:rsidRPr="00C267C1">
        <w:rPr>
          <w:rFonts w:asciiTheme="minorHAnsi" w:hAnsiTheme="minorHAnsi" w:cstheme="minorHAnsi"/>
        </w:rPr>
        <w:t>s</w:t>
      </w:r>
      <w:r w:rsidRPr="00C267C1">
        <w:rPr>
          <w:rFonts w:asciiTheme="minorHAnsi" w:hAnsiTheme="minorHAnsi" w:cstheme="minorHAnsi"/>
        </w:rPr>
        <w:t xml:space="preserve"> compet</w:t>
      </w:r>
      <w:r w:rsidR="00462987" w:rsidRPr="00C267C1">
        <w:rPr>
          <w:rFonts w:asciiTheme="minorHAnsi" w:hAnsiTheme="minorHAnsi" w:cstheme="minorHAnsi"/>
        </w:rPr>
        <w:t>e</w:t>
      </w:r>
      <w:r w:rsidRPr="00C267C1">
        <w:rPr>
          <w:rFonts w:asciiTheme="minorHAnsi" w:hAnsiTheme="minorHAnsi" w:cstheme="minorHAnsi"/>
        </w:rPr>
        <w:t xml:space="preserve"> </w:t>
      </w:r>
      <w:r w:rsidR="00462987" w:rsidRPr="00C267C1">
        <w:rPr>
          <w:rFonts w:asciiTheme="minorHAnsi" w:hAnsiTheme="minorHAnsi" w:cstheme="minorHAnsi"/>
        </w:rPr>
        <w:t>wit</w:t>
      </w:r>
      <w:r w:rsidR="0052642C" w:rsidRPr="00C267C1">
        <w:rPr>
          <w:rFonts w:asciiTheme="minorHAnsi" w:hAnsiTheme="minorHAnsi" w:cstheme="minorHAnsi"/>
        </w:rPr>
        <w:t>h</w:t>
      </w:r>
      <w:r w:rsidR="00462987" w:rsidRPr="00C267C1">
        <w:rPr>
          <w:rFonts w:asciiTheme="minorHAnsi" w:hAnsiTheme="minorHAnsi" w:cstheme="minorHAnsi"/>
        </w:rPr>
        <w:t>in</w:t>
      </w:r>
      <w:r w:rsidRPr="00C267C1">
        <w:rPr>
          <w:rFonts w:asciiTheme="minorHAnsi" w:hAnsiTheme="minorHAnsi" w:cstheme="minorHAnsi"/>
        </w:rPr>
        <w:t xml:space="preserve"> a CRA, HCDD will </w:t>
      </w:r>
      <w:r w:rsidR="00CF0DA6" w:rsidRPr="00C267C1">
        <w:rPr>
          <w:rFonts w:asciiTheme="minorHAnsi" w:hAnsiTheme="minorHAnsi" w:cstheme="minorHAnsi"/>
        </w:rPr>
        <w:t>evaluate several</w:t>
      </w:r>
      <w:r w:rsidRPr="00C267C1">
        <w:rPr>
          <w:rFonts w:asciiTheme="minorHAnsi" w:hAnsiTheme="minorHAnsi" w:cstheme="minorHAnsi"/>
        </w:rPr>
        <w:t xml:space="preserve"> factors in making their determination as to which application will receive a Priority Resolution.  </w:t>
      </w:r>
      <w:r w:rsidR="0081305E" w:rsidRPr="00C267C1">
        <w:rPr>
          <w:rFonts w:asciiTheme="minorHAnsi" w:hAnsiTheme="minorHAnsi" w:cstheme="minorHAnsi"/>
        </w:rPr>
        <w:t xml:space="preserve">These factors are not listed in any </w:t>
      </w:r>
      <w:r w:rsidR="00F038F5" w:rsidRPr="00C267C1">
        <w:rPr>
          <w:rFonts w:asciiTheme="minorHAnsi" w:hAnsiTheme="minorHAnsi" w:cstheme="minorHAnsi"/>
        </w:rPr>
        <w:t>order</w:t>
      </w:r>
      <w:r w:rsidR="0081305E" w:rsidRPr="00C267C1">
        <w:rPr>
          <w:rFonts w:asciiTheme="minorHAnsi" w:hAnsiTheme="minorHAnsi" w:cstheme="minorHAnsi"/>
        </w:rPr>
        <w:t xml:space="preserve"> and will be reviewed on a combined basis. </w:t>
      </w:r>
    </w:p>
    <w:p w14:paraId="5AFAC5AE" w14:textId="59405DF8" w:rsidR="002E4081" w:rsidRPr="00C267C1" w:rsidRDefault="0013484D" w:rsidP="00841D71">
      <w:pPr>
        <w:pStyle w:val="ListParagraph"/>
        <w:numPr>
          <w:ilvl w:val="0"/>
          <w:numId w:val="20"/>
        </w:numPr>
        <w:rPr>
          <w:rFonts w:asciiTheme="minorHAnsi" w:hAnsiTheme="minorHAnsi" w:cstheme="minorHAnsi"/>
        </w:rPr>
      </w:pPr>
      <w:r w:rsidRPr="00C267C1">
        <w:rPr>
          <w:rFonts w:asciiTheme="minorHAnsi" w:hAnsiTheme="minorHAnsi" w:cstheme="minorHAnsi"/>
        </w:rPr>
        <w:t>The d</w:t>
      </w:r>
      <w:r w:rsidR="009D2F10" w:rsidRPr="00C267C1">
        <w:rPr>
          <w:rFonts w:asciiTheme="minorHAnsi" w:hAnsiTheme="minorHAnsi" w:cstheme="minorHAnsi"/>
        </w:rPr>
        <w:t>evelopment selected to receive</w:t>
      </w:r>
      <w:r w:rsidRPr="00C267C1">
        <w:rPr>
          <w:rFonts w:asciiTheme="minorHAnsi" w:hAnsiTheme="minorHAnsi" w:cstheme="minorHAnsi"/>
        </w:rPr>
        <w:t xml:space="preserve"> HCDD</w:t>
      </w:r>
      <w:r w:rsidR="009D2F10" w:rsidRPr="00C267C1">
        <w:rPr>
          <w:rFonts w:asciiTheme="minorHAnsi" w:hAnsiTheme="minorHAnsi" w:cstheme="minorHAnsi"/>
        </w:rPr>
        <w:t xml:space="preserve"> </w:t>
      </w:r>
      <w:r w:rsidR="00D650A9" w:rsidRPr="00C267C1">
        <w:rPr>
          <w:rFonts w:asciiTheme="minorHAnsi" w:hAnsiTheme="minorHAnsi" w:cstheme="minorHAnsi"/>
        </w:rPr>
        <w:t>c</w:t>
      </w:r>
      <w:r w:rsidR="009D2F10" w:rsidRPr="00C267C1">
        <w:rPr>
          <w:rFonts w:asciiTheme="minorHAnsi" w:hAnsiTheme="minorHAnsi" w:cstheme="minorHAnsi"/>
        </w:rPr>
        <w:t xml:space="preserve">ompetitive </w:t>
      </w:r>
      <w:r w:rsidR="00D650A9" w:rsidRPr="00C267C1">
        <w:rPr>
          <w:rFonts w:asciiTheme="minorHAnsi" w:hAnsiTheme="minorHAnsi" w:cstheme="minorHAnsi"/>
        </w:rPr>
        <w:t>f</w:t>
      </w:r>
      <w:r w:rsidR="009D2F10" w:rsidRPr="00C267C1">
        <w:rPr>
          <w:rFonts w:asciiTheme="minorHAnsi" w:hAnsiTheme="minorHAnsi" w:cstheme="minorHAnsi"/>
        </w:rPr>
        <w:t>unds</w:t>
      </w:r>
      <w:r w:rsidR="003A5E4A" w:rsidRPr="00C267C1">
        <w:rPr>
          <w:rFonts w:asciiTheme="minorHAnsi" w:hAnsiTheme="minorHAnsi" w:cstheme="minorHAnsi"/>
        </w:rPr>
        <w:t xml:space="preserve"> (HOME, CD</w:t>
      </w:r>
      <w:r w:rsidRPr="00C267C1">
        <w:rPr>
          <w:rFonts w:asciiTheme="minorHAnsi" w:hAnsiTheme="minorHAnsi" w:cstheme="minorHAnsi"/>
        </w:rPr>
        <w:t>B</w:t>
      </w:r>
      <w:r w:rsidR="003A5E4A" w:rsidRPr="00C267C1">
        <w:rPr>
          <w:rFonts w:asciiTheme="minorHAnsi" w:hAnsiTheme="minorHAnsi" w:cstheme="minorHAnsi"/>
        </w:rPr>
        <w:t>G, TIRZ) by HCDD</w:t>
      </w:r>
    </w:p>
    <w:p w14:paraId="617E9C78" w14:textId="1C80F814" w:rsidR="009D2F10" w:rsidRPr="00C267C1" w:rsidRDefault="00D650A9" w:rsidP="00741106">
      <w:pPr>
        <w:pStyle w:val="ListParagraph"/>
        <w:numPr>
          <w:ilvl w:val="0"/>
          <w:numId w:val="20"/>
        </w:numPr>
        <w:rPr>
          <w:rFonts w:asciiTheme="minorHAnsi" w:hAnsiTheme="minorHAnsi" w:cstheme="minorHAnsi"/>
        </w:rPr>
      </w:pPr>
      <w:r w:rsidRPr="00C267C1">
        <w:rPr>
          <w:rFonts w:asciiTheme="minorHAnsi" w:hAnsiTheme="minorHAnsi" w:cstheme="minorHAnsi"/>
        </w:rPr>
        <w:t>Poverty c</w:t>
      </w:r>
      <w:r w:rsidR="009D2F10" w:rsidRPr="00C267C1">
        <w:rPr>
          <w:rFonts w:asciiTheme="minorHAnsi" w:hAnsiTheme="minorHAnsi" w:cstheme="minorHAnsi"/>
        </w:rPr>
        <w:t xml:space="preserve">oncentration of </w:t>
      </w:r>
      <w:r w:rsidRPr="00C267C1">
        <w:rPr>
          <w:rFonts w:asciiTheme="minorHAnsi" w:hAnsiTheme="minorHAnsi" w:cstheme="minorHAnsi"/>
        </w:rPr>
        <w:t>census t</w:t>
      </w:r>
      <w:r w:rsidR="009D2F10" w:rsidRPr="00C267C1">
        <w:rPr>
          <w:rFonts w:asciiTheme="minorHAnsi" w:hAnsiTheme="minorHAnsi" w:cstheme="minorHAnsi"/>
        </w:rPr>
        <w:t xml:space="preserve">ract </w:t>
      </w:r>
      <w:r w:rsidR="00B55A7A" w:rsidRPr="00C267C1">
        <w:rPr>
          <w:rFonts w:asciiTheme="minorHAnsi" w:hAnsiTheme="minorHAnsi" w:cstheme="minorHAnsi"/>
        </w:rPr>
        <w:t>within</w:t>
      </w:r>
      <w:r w:rsidR="009D2F10" w:rsidRPr="00C267C1">
        <w:rPr>
          <w:rFonts w:asciiTheme="minorHAnsi" w:hAnsiTheme="minorHAnsi" w:cstheme="minorHAnsi"/>
        </w:rPr>
        <w:t xml:space="preserve"> competing sites</w:t>
      </w:r>
      <w:r w:rsidR="007D1936" w:rsidRPr="00C267C1">
        <w:rPr>
          <w:rFonts w:asciiTheme="minorHAnsi" w:hAnsiTheme="minorHAnsi" w:cstheme="minorHAnsi"/>
        </w:rPr>
        <w:t xml:space="preserve">. Lower poverty concentration </w:t>
      </w:r>
      <w:r w:rsidR="00113D15" w:rsidRPr="00C267C1">
        <w:rPr>
          <w:rFonts w:asciiTheme="minorHAnsi" w:hAnsiTheme="minorHAnsi" w:cstheme="minorHAnsi"/>
        </w:rPr>
        <w:t>will prioritize an application.</w:t>
      </w:r>
    </w:p>
    <w:p w14:paraId="514595E3" w14:textId="77777777" w:rsidR="009D2F10" w:rsidRPr="00C267C1" w:rsidRDefault="003A5E4A" w:rsidP="00741106">
      <w:pPr>
        <w:pStyle w:val="ListParagraph"/>
        <w:numPr>
          <w:ilvl w:val="0"/>
          <w:numId w:val="20"/>
        </w:numPr>
        <w:rPr>
          <w:rFonts w:asciiTheme="minorHAnsi" w:hAnsiTheme="minorHAnsi" w:cstheme="minorHAnsi"/>
        </w:rPr>
      </w:pPr>
      <w:r w:rsidRPr="00C267C1">
        <w:rPr>
          <w:rFonts w:asciiTheme="minorHAnsi" w:hAnsiTheme="minorHAnsi" w:cstheme="minorHAnsi"/>
        </w:rPr>
        <w:t xml:space="preserve">Elementary, Middle and High </w:t>
      </w:r>
      <w:r w:rsidR="009D2F10" w:rsidRPr="00C267C1">
        <w:rPr>
          <w:rFonts w:asciiTheme="minorHAnsi" w:hAnsiTheme="minorHAnsi" w:cstheme="minorHAnsi"/>
        </w:rPr>
        <w:t xml:space="preserve">School ratings of competing sites as </w:t>
      </w:r>
      <w:r w:rsidRPr="00C267C1">
        <w:rPr>
          <w:rFonts w:asciiTheme="minorHAnsi" w:hAnsiTheme="minorHAnsi" w:cstheme="minorHAnsi"/>
        </w:rPr>
        <w:t>assessed</w:t>
      </w:r>
      <w:r w:rsidR="009D2F10" w:rsidRPr="00C267C1">
        <w:rPr>
          <w:rFonts w:asciiTheme="minorHAnsi" w:hAnsiTheme="minorHAnsi" w:cstheme="minorHAnsi"/>
        </w:rPr>
        <w:t xml:space="preserve"> by Children at Risk</w:t>
      </w:r>
      <w:r w:rsidR="007D1936" w:rsidRPr="00C267C1">
        <w:rPr>
          <w:rFonts w:asciiTheme="minorHAnsi" w:hAnsiTheme="minorHAnsi" w:cstheme="minorHAnsi"/>
        </w:rPr>
        <w:t xml:space="preserve">. Higher ranking of schools will prioritize an application. </w:t>
      </w:r>
    </w:p>
    <w:p w14:paraId="75940DB0" w14:textId="1AB9D289" w:rsidR="00644B73" w:rsidRPr="00C267C1" w:rsidRDefault="00841D71" w:rsidP="00741106">
      <w:pPr>
        <w:pStyle w:val="ListParagraph"/>
        <w:numPr>
          <w:ilvl w:val="0"/>
          <w:numId w:val="20"/>
        </w:numPr>
        <w:rPr>
          <w:rFonts w:asciiTheme="minorHAnsi" w:hAnsiTheme="minorHAnsi" w:cstheme="minorHAnsi"/>
        </w:rPr>
      </w:pPr>
      <w:r w:rsidRPr="00C267C1">
        <w:rPr>
          <w:rFonts w:asciiTheme="minorHAnsi" w:hAnsiTheme="minorHAnsi" w:cstheme="minorHAnsi"/>
        </w:rPr>
        <w:t xml:space="preserve">Access </w:t>
      </w:r>
      <w:r w:rsidR="002E4081" w:rsidRPr="00C267C1">
        <w:rPr>
          <w:rFonts w:asciiTheme="minorHAnsi" w:hAnsiTheme="minorHAnsi" w:cstheme="minorHAnsi"/>
        </w:rPr>
        <w:t>to public transportation</w:t>
      </w:r>
      <w:r w:rsidR="00462987" w:rsidRPr="00C267C1">
        <w:rPr>
          <w:rFonts w:asciiTheme="minorHAnsi" w:hAnsiTheme="minorHAnsi" w:cstheme="minorHAnsi"/>
        </w:rPr>
        <w:t xml:space="preserve"> as measured from the development site’s distance from the closest high frequency </w:t>
      </w:r>
      <w:r w:rsidR="00320E4B" w:rsidRPr="00C267C1">
        <w:rPr>
          <w:rFonts w:asciiTheme="minorHAnsi" w:hAnsiTheme="minorHAnsi" w:cstheme="minorHAnsi"/>
        </w:rPr>
        <w:t xml:space="preserve">public transportation </w:t>
      </w:r>
      <w:r w:rsidR="00462987" w:rsidRPr="00C267C1">
        <w:rPr>
          <w:rFonts w:asciiTheme="minorHAnsi" w:hAnsiTheme="minorHAnsi" w:cstheme="minorHAnsi"/>
        </w:rPr>
        <w:t>stop</w:t>
      </w:r>
    </w:p>
    <w:p w14:paraId="57ECD244" w14:textId="77777777" w:rsidR="002579CA" w:rsidRPr="00C267C1" w:rsidRDefault="008D13E7" w:rsidP="00B36B98">
      <w:pPr>
        <w:pStyle w:val="ListParagraph"/>
        <w:numPr>
          <w:ilvl w:val="0"/>
          <w:numId w:val="20"/>
        </w:numPr>
        <w:rPr>
          <w:rFonts w:asciiTheme="minorHAnsi" w:hAnsiTheme="minorHAnsi" w:cstheme="minorHAnsi"/>
        </w:rPr>
      </w:pPr>
      <w:r w:rsidRPr="00C267C1">
        <w:rPr>
          <w:rFonts w:asciiTheme="minorHAnsi" w:hAnsiTheme="minorHAnsi" w:cstheme="minorHAnsi"/>
        </w:rPr>
        <w:t xml:space="preserve">Proposed development is </w:t>
      </w:r>
      <w:r w:rsidR="009B1706" w:rsidRPr="00C267C1">
        <w:rPr>
          <w:rFonts w:asciiTheme="minorHAnsi" w:hAnsiTheme="minorHAnsi" w:cstheme="minorHAnsi"/>
        </w:rPr>
        <w:t>Permanent Supportive Housing and/or housing serving of special needs populations</w:t>
      </w:r>
      <w:r w:rsidR="002579CA" w:rsidRPr="00C267C1">
        <w:rPr>
          <w:rFonts w:asciiTheme="minorHAnsi" w:hAnsiTheme="minorHAnsi" w:cstheme="minorHAnsi"/>
        </w:rPr>
        <w:t xml:space="preserve">. </w:t>
      </w:r>
    </w:p>
    <w:p w14:paraId="7099A3F5" w14:textId="41BC46E9" w:rsidR="002579CA" w:rsidRPr="00C267C1" w:rsidRDefault="00F2028E" w:rsidP="00AC16C9">
      <w:pPr>
        <w:pStyle w:val="ListParagraph"/>
        <w:numPr>
          <w:ilvl w:val="0"/>
          <w:numId w:val="20"/>
        </w:numPr>
        <w:rPr>
          <w:rFonts w:asciiTheme="minorHAnsi" w:hAnsiTheme="minorHAnsi" w:cstheme="minorHAnsi"/>
        </w:rPr>
      </w:pPr>
      <w:r w:rsidRPr="00C267C1">
        <w:rPr>
          <w:rFonts w:asciiTheme="minorHAnsi" w:hAnsiTheme="minorHAnsi" w:cstheme="minorHAnsi"/>
        </w:rPr>
        <w:t>Placement of an o</w:t>
      </w:r>
      <w:r w:rsidR="003F359F" w:rsidRPr="00C267C1">
        <w:rPr>
          <w:rFonts w:asciiTheme="minorHAnsi" w:hAnsiTheme="minorHAnsi" w:cstheme="minorHAnsi"/>
        </w:rPr>
        <w:t>nsite resident service coordinator</w:t>
      </w:r>
      <w:r w:rsidR="002579CA" w:rsidRPr="00C267C1">
        <w:rPr>
          <w:rFonts w:asciiTheme="minorHAnsi" w:hAnsiTheme="minorHAnsi" w:cstheme="minorHAnsi"/>
        </w:rPr>
        <w:t xml:space="preserve"> </w:t>
      </w:r>
    </w:p>
    <w:p w14:paraId="42CB02E3" w14:textId="582B001A" w:rsidR="002615D8" w:rsidRPr="00C267C1" w:rsidRDefault="002579CA" w:rsidP="00CC555A">
      <w:pPr>
        <w:pStyle w:val="ListParagraph"/>
        <w:numPr>
          <w:ilvl w:val="0"/>
          <w:numId w:val="20"/>
        </w:numPr>
        <w:rPr>
          <w:rFonts w:asciiTheme="minorHAnsi" w:hAnsiTheme="minorHAnsi" w:cstheme="minorHAnsi"/>
        </w:rPr>
      </w:pPr>
      <w:r w:rsidRPr="00C267C1">
        <w:rPr>
          <w:rFonts w:asciiTheme="minorHAnsi" w:hAnsiTheme="minorHAnsi" w:cstheme="minorHAnsi"/>
        </w:rPr>
        <w:t xml:space="preserve">Mixed income composition of the development. HCDD will prioritize developments with a higher concentration of </w:t>
      </w:r>
      <w:r w:rsidR="00CC555A" w:rsidRPr="00C267C1">
        <w:rPr>
          <w:rFonts w:asciiTheme="minorHAnsi" w:hAnsiTheme="minorHAnsi" w:cstheme="minorHAnsi"/>
        </w:rPr>
        <w:t>unrestricted market rate units.</w:t>
      </w:r>
    </w:p>
    <w:p w14:paraId="5F887CC0" w14:textId="77777777" w:rsidR="00C975F2" w:rsidRPr="00C267C1" w:rsidRDefault="00C975F2" w:rsidP="00C975F2">
      <w:pPr>
        <w:tabs>
          <w:tab w:val="left" w:pos="810"/>
          <w:tab w:val="left" w:pos="4752"/>
        </w:tabs>
        <w:spacing w:line="276" w:lineRule="auto"/>
        <w:jc w:val="both"/>
        <w:rPr>
          <w:rFonts w:asciiTheme="minorHAnsi" w:hAnsiTheme="minorHAnsi" w:cstheme="minorHAnsi"/>
          <w:b/>
        </w:rPr>
      </w:pPr>
    </w:p>
    <w:p w14:paraId="4B3EE7D5" w14:textId="77777777" w:rsidR="00C267C1" w:rsidRDefault="00C267C1" w:rsidP="00C975F2">
      <w:pPr>
        <w:tabs>
          <w:tab w:val="left" w:pos="810"/>
          <w:tab w:val="left" w:pos="4752"/>
        </w:tabs>
        <w:spacing w:line="276" w:lineRule="auto"/>
        <w:jc w:val="both"/>
        <w:rPr>
          <w:rFonts w:asciiTheme="minorHAnsi" w:hAnsiTheme="minorHAnsi" w:cstheme="minorHAnsi"/>
          <w:b/>
        </w:rPr>
      </w:pPr>
    </w:p>
    <w:p w14:paraId="684C0032" w14:textId="77777777" w:rsidR="00C267C1" w:rsidRDefault="00C267C1" w:rsidP="00C975F2">
      <w:pPr>
        <w:tabs>
          <w:tab w:val="left" w:pos="810"/>
          <w:tab w:val="left" w:pos="4752"/>
        </w:tabs>
        <w:spacing w:line="276" w:lineRule="auto"/>
        <w:jc w:val="both"/>
        <w:rPr>
          <w:rFonts w:asciiTheme="minorHAnsi" w:hAnsiTheme="minorHAnsi" w:cstheme="minorHAnsi"/>
          <w:b/>
        </w:rPr>
      </w:pPr>
    </w:p>
    <w:p w14:paraId="1226C332" w14:textId="61ED5112" w:rsidR="00C975F2" w:rsidRPr="00C267C1" w:rsidRDefault="00C975F2" w:rsidP="00C975F2">
      <w:pPr>
        <w:tabs>
          <w:tab w:val="left" w:pos="810"/>
          <w:tab w:val="left" w:pos="4752"/>
        </w:tabs>
        <w:spacing w:line="276" w:lineRule="auto"/>
        <w:jc w:val="both"/>
        <w:rPr>
          <w:rFonts w:asciiTheme="minorHAnsi" w:hAnsiTheme="minorHAnsi" w:cstheme="minorHAnsi"/>
          <w:b/>
        </w:rPr>
      </w:pPr>
      <w:r w:rsidRPr="00C267C1">
        <w:rPr>
          <w:rFonts w:asciiTheme="minorHAnsi" w:hAnsiTheme="minorHAnsi" w:cstheme="minorHAnsi"/>
          <w:b/>
        </w:rPr>
        <w:lastRenderedPageBreak/>
        <w:t>2 Mile Same Year Rule Waiver</w:t>
      </w:r>
    </w:p>
    <w:p w14:paraId="63082C64" w14:textId="77777777" w:rsidR="00DA4907" w:rsidRPr="00C267C1" w:rsidRDefault="00DA4907" w:rsidP="00DA4907">
      <w:pPr>
        <w:tabs>
          <w:tab w:val="left" w:pos="810"/>
          <w:tab w:val="left" w:pos="4752"/>
        </w:tabs>
        <w:jc w:val="both"/>
        <w:rPr>
          <w:rFonts w:asciiTheme="minorHAnsi" w:hAnsiTheme="minorHAnsi" w:cstheme="minorHAnsi"/>
        </w:rPr>
      </w:pPr>
      <w:r w:rsidRPr="00C267C1">
        <w:rPr>
          <w:rFonts w:asciiTheme="minorHAnsi" w:hAnsiTheme="minorHAnsi" w:cstheme="minorHAnsi"/>
        </w:rPr>
        <w:t>As required by Tex. Gov't Code §2306.6711(f), TDHCA staff will not recommend for an 9% HTC award to development sites located less than 2 miles from the proposed site of another 9% application within the same calendar year. Commencing in 2020, the city of Houston will be eligible to provide a waver if the so-called 2 Mile Rule.  HCDD will submit waiver request to city council for developments receiving a Resolution of Support from the City of Houston with consideration of certain factors:</w:t>
      </w:r>
    </w:p>
    <w:p w14:paraId="4B9BDB9C" w14:textId="77777777" w:rsidR="00DA4907" w:rsidRPr="00C267C1" w:rsidRDefault="00DA4907" w:rsidP="00DA4907">
      <w:pPr>
        <w:pStyle w:val="ListParagraph"/>
        <w:numPr>
          <w:ilvl w:val="0"/>
          <w:numId w:val="31"/>
        </w:numPr>
        <w:tabs>
          <w:tab w:val="left" w:pos="810"/>
          <w:tab w:val="left" w:pos="4752"/>
        </w:tabs>
        <w:contextualSpacing/>
        <w:jc w:val="both"/>
        <w:rPr>
          <w:rFonts w:asciiTheme="minorHAnsi" w:hAnsiTheme="minorHAnsi" w:cstheme="minorHAnsi"/>
        </w:rPr>
      </w:pPr>
      <w:r w:rsidRPr="00C267C1">
        <w:rPr>
          <w:rFonts w:asciiTheme="minorHAnsi" w:hAnsiTheme="minorHAnsi" w:cstheme="minorHAnsi"/>
        </w:rPr>
        <w:t xml:space="preserve">Target Population - Developments serving different populations (i.e. seniors, family, permanent supportive housing) </w:t>
      </w:r>
    </w:p>
    <w:p w14:paraId="3544BD00" w14:textId="77777777" w:rsidR="00DA4907" w:rsidRPr="00C267C1" w:rsidRDefault="00DA4907" w:rsidP="00DA4907">
      <w:pPr>
        <w:pStyle w:val="ListParagraph"/>
        <w:numPr>
          <w:ilvl w:val="0"/>
          <w:numId w:val="31"/>
        </w:numPr>
        <w:tabs>
          <w:tab w:val="left" w:pos="810"/>
          <w:tab w:val="left" w:pos="4752"/>
        </w:tabs>
        <w:contextualSpacing/>
        <w:jc w:val="both"/>
        <w:rPr>
          <w:rFonts w:asciiTheme="minorHAnsi" w:hAnsiTheme="minorHAnsi" w:cstheme="minorHAnsi"/>
        </w:rPr>
      </w:pPr>
      <w:r w:rsidRPr="00C267C1">
        <w:rPr>
          <w:rFonts w:asciiTheme="minorHAnsi" w:hAnsiTheme="minorHAnsi" w:cstheme="minorHAnsi"/>
        </w:rPr>
        <w:t>Distinct Neighborhoods – Distinction of neighborhoods may be created by natural/manmade barriers or separate revitalization areas recognized by HCDD</w:t>
      </w:r>
    </w:p>
    <w:p w14:paraId="1EA2077B" w14:textId="6636E550" w:rsidR="00C975F2" w:rsidRPr="00C267C1" w:rsidRDefault="00C975F2" w:rsidP="00DA4907">
      <w:pPr>
        <w:tabs>
          <w:tab w:val="left" w:pos="810"/>
          <w:tab w:val="left" w:pos="4752"/>
        </w:tabs>
        <w:spacing w:line="276" w:lineRule="auto"/>
        <w:jc w:val="both"/>
        <w:rPr>
          <w:rFonts w:asciiTheme="minorHAnsi" w:hAnsiTheme="minorHAnsi" w:cstheme="minorHAnsi"/>
        </w:rPr>
      </w:pPr>
    </w:p>
    <w:p w14:paraId="1B005E92" w14:textId="3D3619CC" w:rsidR="00C957BB" w:rsidRPr="00C267C1" w:rsidRDefault="00C957BB" w:rsidP="00C975F2">
      <w:pPr>
        <w:pStyle w:val="JMWordDoc"/>
        <w:rPr>
          <w:rFonts w:asciiTheme="minorHAnsi" w:hAnsiTheme="minorHAnsi" w:cstheme="minorHAnsi"/>
        </w:rPr>
      </w:pPr>
    </w:p>
    <w:sectPr w:rsidR="00C957BB" w:rsidRPr="00C267C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8142F" w14:textId="77777777" w:rsidR="0000658B" w:rsidRDefault="0000658B" w:rsidP="005302D9">
      <w:r>
        <w:separator/>
      </w:r>
    </w:p>
  </w:endnote>
  <w:endnote w:type="continuationSeparator" w:id="0">
    <w:p w14:paraId="5150760F" w14:textId="77777777" w:rsidR="0000658B" w:rsidRDefault="0000658B" w:rsidP="005302D9">
      <w:r>
        <w:continuationSeparator/>
      </w:r>
    </w:p>
  </w:endnote>
  <w:endnote w:type="continuationNotice" w:id="1">
    <w:p w14:paraId="791E4653" w14:textId="77777777" w:rsidR="0000658B" w:rsidRDefault="000065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BA082" w14:textId="77777777" w:rsidR="0000658B" w:rsidRDefault="0000658B" w:rsidP="005302D9">
      <w:bookmarkStart w:id="0" w:name="_Hlk507752879"/>
      <w:bookmarkEnd w:id="0"/>
      <w:r>
        <w:separator/>
      </w:r>
    </w:p>
  </w:footnote>
  <w:footnote w:type="continuationSeparator" w:id="0">
    <w:p w14:paraId="10F9A7F6" w14:textId="77777777" w:rsidR="0000658B" w:rsidRDefault="0000658B" w:rsidP="005302D9">
      <w:r>
        <w:continuationSeparator/>
      </w:r>
    </w:p>
  </w:footnote>
  <w:footnote w:type="continuationNotice" w:id="1">
    <w:p w14:paraId="14B840D3" w14:textId="77777777" w:rsidR="0000658B" w:rsidRDefault="000065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6CC1A" w14:textId="77777777" w:rsidR="00817066" w:rsidRDefault="00993C4C">
    <w:pPr>
      <w:pStyle w:val="Header"/>
    </w:pPr>
    <w:r>
      <w:rPr>
        <w:noProof/>
      </w:rPr>
      <w:drawing>
        <wp:anchor distT="0" distB="0" distL="114300" distR="114300" simplePos="0" relativeHeight="251659264" behindDoc="1" locked="0" layoutInCell="1" allowOverlap="1" wp14:anchorId="633D0D92" wp14:editId="383E96A6">
          <wp:simplePos x="0" y="0"/>
          <wp:positionH relativeFrom="column">
            <wp:posOffset>3619500</wp:posOffset>
          </wp:positionH>
          <wp:positionV relativeFrom="paragraph">
            <wp:posOffset>29845</wp:posOffset>
          </wp:positionV>
          <wp:extent cx="2623820" cy="1124585"/>
          <wp:effectExtent l="0" t="0" r="5080" b="0"/>
          <wp:wrapTight wrapText="bothSides">
            <wp:wrapPolygon edited="0">
              <wp:start x="4705" y="0"/>
              <wp:lineTo x="4391" y="0"/>
              <wp:lineTo x="2352" y="5123"/>
              <wp:lineTo x="0" y="9879"/>
              <wp:lineTo x="0" y="14270"/>
              <wp:lineTo x="941" y="17563"/>
              <wp:lineTo x="941" y="17929"/>
              <wp:lineTo x="4705" y="21222"/>
              <wp:lineTo x="5332" y="21222"/>
              <wp:lineTo x="7057" y="21222"/>
              <wp:lineTo x="7684" y="21222"/>
              <wp:lineTo x="21485" y="16831"/>
              <wp:lineTo x="21485" y="1098"/>
              <wp:lineTo x="20544" y="732"/>
              <wp:lineTo x="10350" y="0"/>
              <wp:lineTo x="470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D Logo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3820" cy="112458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rPr>
      <w:drawing>
        <wp:inline distT="0" distB="0" distL="0" distR="0" wp14:anchorId="54262244" wp14:editId="55FD5AE0">
          <wp:extent cx="1085850" cy="1085850"/>
          <wp:effectExtent l="0" t="0" r="0" b="0"/>
          <wp:docPr id="1" name="Picture 1" descr="Seal blue st cop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blue st copy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r>
      <w:tab/>
    </w:r>
    <w:r>
      <w:tab/>
    </w:r>
  </w:p>
  <w:p w14:paraId="3CE0C435" w14:textId="77777777" w:rsidR="005302D9" w:rsidRDefault="00530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97B9B"/>
    <w:multiLevelType w:val="hybridMultilevel"/>
    <w:tmpl w:val="59C8B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4C32B9"/>
    <w:multiLevelType w:val="hybridMultilevel"/>
    <w:tmpl w:val="44D4C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5061AC"/>
    <w:multiLevelType w:val="hybridMultilevel"/>
    <w:tmpl w:val="A09E6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245E9"/>
    <w:multiLevelType w:val="hybridMultilevel"/>
    <w:tmpl w:val="94EE1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73E91"/>
    <w:multiLevelType w:val="hybridMultilevel"/>
    <w:tmpl w:val="FB94EE1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96022"/>
    <w:multiLevelType w:val="hybridMultilevel"/>
    <w:tmpl w:val="7CF2F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451D73"/>
    <w:multiLevelType w:val="hybridMultilevel"/>
    <w:tmpl w:val="124421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276D3050"/>
    <w:multiLevelType w:val="hybridMultilevel"/>
    <w:tmpl w:val="53FEA2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9269F9"/>
    <w:multiLevelType w:val="hybridMultilevel"/>
    <w:tmpl w:val="76783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175E12"/>
    <w:multiLevelType w:val="hybridMultilevel"/>
    <w:tmpl w:val="EED4F5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840986"/>
    <w:multiLevelType w:val="hybridMultilevel"/>
    <w:tmpl w:val="183893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F91CA8"/>
    <w:multiLevelType w:val="hybridMultilevel"/>
    <w:tmpl w:val="099ABF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E9740F"/>
    <w:multiLevelType w:val="hybridMultilevel"/>
    <w:tmpl w:val="6DBA0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B142F6"/>
    <w:multiLevelType w:val="hybridMultilevel"/>
    <w:tmpl w:val="29D2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100F95"/>
    <w:multiLevelType w:val="hybridMultilevel"/>
    <w:tmpl w:val="FA66E3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D15EEE"/>
    <w:multiLevelType w:val="hybridMultilevel"/>
    <w:tmpl w:val="5C4439F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6" w15:restartNumberingAfterBreak="0">
    <w:nsid w:val="3F1F3C5B"/>
    <w:multiLevelType w:val="hybridMultilevel"/>
    <w:tmpl w:val="450E8918"/>
    <w:lvl w:ilvl="0" w:tplc="70283F2E">
      <w:start w:val="1"/>
      <w:numFmt w:val="lowerLetter"/>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CA1518"/>
    <w:multiLevelType w:val="hybridMultilevel"/>
    <w:tmpl w:val="E0EA1B38"/>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427E2D67"/>
    <w:multiLevelType w:val="hybridMultilevel"/>
    <w:tmpl w:val="F710E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0A2B1C"/>
    <w:multiLevelType w:val="hybridMultilevel"/>
    <w:tmpl w:val="69CC5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C031A4"/>
    <w:multiLevelType w:val="hybridMultilevel"/>
    <w:tmpl w:val="1DA22C14"/>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41538D"/>
    <w:multiLevelType w:val="hybridMultilevel"/>
    <w:tmpl w:val="34586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EB6B89"/>
    <w:multiLevelType w:val="hybridMultilevel"/>
    <w:tmpl w:val="8144750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DCC22D5"/>
    <w:multiLevelType w:val="hybridMultilevel"/>
    <w:tmpl w:val="1BF63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02480F"/>
    <w:multiLevelType w:val="hybridMultilevel"/>
    <w:tmpl w:val="450E8918"/>
    <w:lvl w:ilvl="0" w:tplc="70283F2E">
      <w:start w:val="1"/>
      <w:numFmt w:val="lowerLetter"/>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BB65CC"/>
    <w:multiLevelType w:val="hybridMultilevel"/>
    <w:tmpl w:val="69CC5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9907D4"/>
    <w:multiLevelType w:val="hybridMultilevel"/>
    <w:tmpl w:val="46827054"/>
    <w:lvl w:ilvl="0" w:tplc="E982AF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C15A15"/>
    <w:multiLevelType w:val="hybridMultilevel"/>
    <w:tmpl w:val="47E8F5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56024A"/>
    <w:multiLevelType w:val="hybridMultilevel"/>
    <w:tmpl w:val="83886202"/>
    <w:lvl w:ilvl="0" w:tplc="C1402DB6">
      <w:start w:val="1"/>
      <w:numFmt w:val="decimal"/>
      <w:lvlText w:val="%1."/>
      <w:lvlJc w:val="left"/>
      <w:pPr>
        <w:ind w:left="720" w:hanging="360"/>
      </w:pPr>
      <w:rPr>
        <w:b w:val="0"/>
      </w:rPr>
    </w:lvl>
    <w:lvl w:ilvl="1" w:tplc="04090019">
      <w:start w:val="1"/>
      <w:numFmt w:val="lowerLetter"/>
      <w:lvlText w:val="%2."/>
      <w:lvlJc w:val="left"/>
      <w:pPr>
        <w:ind w:left="720" w:hanging="360"/>
      </w:pPr>
    </w:lvl>
    <w:lvl w:ilvl="2" w:tplc="464E87BA">
      <w:start w:val="1"/>
      <w:numFmt w:val="lowerRoman"/>
      <w:lvlText w:val="%3."/>
      <w:lvlJc w:val="right"/>
      <w:pPr>
        <w:ind w:left="1440" w:hanging="180"/>
      </w:pPr>
      <w:rPr>
        <w:b w:val="0"/>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78A65035"/>
    <w:multiLevelType w:val="hybridMultilevel"/>
    <w:tmpl w:val="8E106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BBA6FC4"/>
    <w:multiLevelType w:val="hybridMultilevel"/>
    <w:tmpl w:val="189A4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B75911"/>
    <w:multiLevelType w:val="hybridMultilevel"/>
    <w:tmpl w:val="2D0EC57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70283F2E">
      <w:start w:val="1"/>
      <w:numFmt w:val="lowerLetter"/>
      <w:lvlText w:val="%3."/>
      <w:lvlJc w:val="left"/>
      <w:pPr>
        <w:ind w:left="2160" w:hanging="360"/>
      </w:pPr>
      <w:rPr>
        <w:rFonts w:hint="default"/>
        <w:b w:val="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E1A0640"/>
    <w:multiLevelType w:val="hybridMultilevel"/>
    <w:tmpl w:val="8E86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1"/>
  </w:num>
  <w:num w:numId="4">
    <w:abstractNumId w:val="31"/>
  </w:num>
  <w:num w:numId="5">
    <w:abstractNumId w:val="17"/>
  </w:num>
  <w:num w:numId="6">
    <w:abstractNumId w:val="16"/>
  </w:num>
  <w:num w:numId="7">
    <w:abstractNumId w:val="20"/>
  </w:num>
  <w:num w:numId="8">
    <w:abstractNumId w:val="24"/>
  </w:num>
  <w:num w:numId="9">
    <w:abstractNumId w:val="25"/>
  </w:num>
  <w:num w:numId="10">
    <w:abstractNumId w:val="19"/>
  </w:num>
  <w:num w:numId="11">
    <w:abstractNumId w:val="23"/>
  </w:num>
  <w:num w:numId="12">
    <w:abstractNumId w:val="28"/>
  </w:num>
  <w:num w:numId="13">
    <w:abstractNumId w:val="26"/>
  </w:num>
  <w:num w:numId="14">
    <w:abstractNumId w:val="18"/>
  </w:num>
  <w:num w:numId="15">
    <w:abstractNumId w:val="2"/>
  </w:num>
  <w:num w:numId="16">
    <w:abstractNumId w:val="5"/>
  </w:num>
  <w:num w:numId="17">
    <w:abstractNumId w:val="3"/>
  </w:num>
  <w:num w:numId="18">
    <w:abstractNumId w:val="27"/>
  </w:num>
  <w:num w:numId="19">
    <w:abstractNumId w:val="22"/>
  </w:num>
  <w:num w:numId="20">
    <w:abstractNumId w:val="4"/>
  </w:num>
  <w:num w:numId="21">
    <w:abstractNumId w:val="9"/>
  </w:num>
  <w:num w:numId="22">
    <w:abstractNumId w:val="7"/>
  </w:num>
  <w:num w:numId="23">
    <w:abstractNumId w:val="11"/>
  </w:num>
  <w:num w:numId="24">
    <w:abstractNumId w:val="6"/>
  </w:num>
  <w:num w:numId="25">
    <w:abstractNumId w:val="14"/>
  </w:num>
  <w:num w:numId="26">
    <w:abstractNumId w:val="8"/>
  </w:num>
  <w:num w:numId="27">
    <w:abstractNumId w:val="21"/>
  </w:num>
  <w:num w:numId="28">
    <w:abstractNumId w:val="12"/>
  </w:num>
  <w:num w:numId="29">
    <w:abstractNumId w:val="10"/>
  </w:num>
  <w:num w:numId="30">
    <w:abstractNumId w:val="30"/>
  </w:num>
  <w:num w:numId="31">
    <w:abstractNumId w:val="15"/>
  </w:num>
  <w:num w:numId="32">
    <w:abstractNumId w:val="32"/>
  </w:num>
  <w:num w:numId="33">
    <w:abstractNumId w:val="29"/>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4AE"/>
    <w:rsid w:val="00000358"/>
    <w:rsid w:val="0000658B"/>
    <w:rsid w:val="00020B10"/>
    <w:rsid w:val="00027E98"/>
    <w:rsid w:val="00041A5C"/>
    <w:rsid w:val="000525BE"/>
    <w:rsid w:val="00072309"/>
    <w:rsid w:val="00072E96"/>
    <w:rsid w:val="00085509"/>
    <w:rsid w:val="00087821"/>
    <w:rsid w:val="00087C8A"/>
    <w:rsid w:val="00090EAC"/>
    <w:rsid w:val="00093D99"/>
    <w:rsid w:val="00095519"/>
    <w:rsid w:val="000A06CB"/>
    <w:rsid w:val="000D0513"/>
    <w:rsid w:val="000F4D2C"/>
    <w:rsid w:val="000F6DB0"/>
    <w:rsid w:val="00103FB0"/>
    <w:rsid w:val="001061BE"/>
    <w:rsid w:val="00110802"/>
    <w:rsid w:val="00113478"/>
    <w:rsid w:val="00113D15"/>
    <w:rsid w:val="0011409D"/>
    <w:rsid w:val="001273B2"/>
    <w:rsid w:val="0013484D"/>
    <w:rsid w:val="00136121"/>
    <w:rsid w:val="00144E2C"/>
    <w:rsid w:val="00167E0E"/>
    <w:rsid w:val="0017122A"/>
    <w:rsid w:val="00182753"/>
    <w:rsid w:val="00186852"/>
    <w:rsid w:val="001923E2"/>
    <w:rsid w:val="001971F7"/>
    <w:rsid w:val="001B578A"/>
    <w:rsid w:val="001B7023"/>
    <w:rsid w:val="001C1BC4"/>
    <w:rsid w:val="001C4D1F"/>
    <w:rsid w:val="001D2D1B"/>
    <w:rsid w:val="001F388C"/>
    <w:rsid w:val="001F681F"/>
    <w:rsid w:val="00202F47"/>
    <w:rsid w:val="00204F0C"/>
    <w:rsid w:val="002135D0"/>
    <w:rsid w:val="002158FE"/>
    <w:rsid w:val="00217612"/>
    <w:rsid w:val="002579CA"/>
    <w:rsid w:val="002615D8"/>
    <w:rsid w:val="00270E5F"/>
    <w:rsid w:val="00271325"/>
    <w:rsid w:val="00277283"/>
    <w:rsid w:val="002807D2"/>
    <w:rsid w:val="00297F30"/>
    <w:rsid w:val="002D5C41"/>
    <w:rsid w:val="002E0345"/>
    <w:rsid w:val="002E2D65"/>
    <w:rsid w:val="002E4081"/>
    <w:rsid w:val="0031155E"/>
    <w:rsid w:val="0031772B"/>
    <w:rsid w:val="00320E4B"/>
    <w:rsid w:val="00331705"/>
    <w:rsid w:val="00332676"/>
    <w:rsid w:val="003369AE"/>
    <w:rsid w:val="00340C41"/>
    <w:rsid w:val="00341A9C"/>
    <w:rsid w:val="00345643"/>
    <w:rsid w:val="00347CAE"/>
    <w:rsid w:val="003529BD"/>
    <w:rsid w:val="003554A1"/>
    <w:rsid w:val="003618A6"/>
    <w:rsid w:val="003671F8"/>
    <w:rsid w:val="00374690"/>
    <w:rsid w:val="00375719"/>
    <w:rsid w:val="00382F1B"/>
    <w:rsid w:val="00392169"/>
    <w:rsid w:val="00395AD9"/>
    <w:rsid w:val="003A5E4A"/>
    <w:rsid w:val="003B0615"/>
    <w:rsid w:val="003B47BB"/>
    <w:rsid w:val="003C3F0C"/>
    <w:rsid w:val="003F09F2"/>
    <w:rsid w:val="003F0D73"/>
    <w:rsid w:val="003F1D42"/>
    <w:rsid w:val="003F27FC"/>
    <w:rsid w:val="003F359F"/>
    <w:rsid w:val="00413470"/>
    <w:rsid w:val="0041453B"/>
    <w:rsid w:val="00420D2B"/>
    <w:rsid w:val="00433FCD"/>
    <w:rsid w:val="00437363"/>
    <w:rsid w:val="00444788"/>
    <w:rsid w:val="00447EA0"/>
    <w:rsid w:val="00462987"/>
    <w:rsid w:val="004657C3"/>
    <w:rsid w:val="0048032A"/>
    <w:rsid w:val="00480C16"/>
    <w:rsid w:val="004811E4"/>
    <w:rsid w:val="00481618"/>
    <w:rsid w:val="00496DC3"/>
    <w:rsid w:val="004B2948"/>
    <w:rsid w:val="004B3CD4"/>
    <w:rsid w:val="004C2C17"/>
    <w:rsid w:val="004C38D6"/>
    <w:rsid w:val="004D005F"/>
    <w:rsid w:val="004E2448"/>
    <w:rsid w:val="00506823"/>
    <w:rsid w:val="0052642C"/>
    <w:rsid w:val="005302D9"/>
    <w:rsid w:val="005342DE"/>
    <w:rsid w:val="0053563A"/>
    <w:rsid w:val="00537401"/>
    <w:rsid w:val="00545CE5"/>
    <w:rsid w:val="0054650E"/>
    <w:rsid w:val="00564297"/>
    <w:rsid w:val="005A187C"/>
    <w:rsid w:val="005A332C"/>
    <w:rsid w:val="005C68E8"/>
    <w:rsid w:val="005C7477"/>
    <w:rsid w:val="005E2665"/>
    <w:rsid w:val="005E632E"/>
    <w:rsid w:val="005F0E6F"/>
    <w:rsid w:val="006018CB"/>
    <w:rsid w:val="006135C7"/>
    <w:rsid w:val="006200B8"/>
    <w:rsid w:val="00627980"/>
    <w:rsid w:val="00640B9F"/>
    <w:rsid w:val="00643B9F"/>
    <w:rsid w:val="00644B73"/>
    <w:rsid w:val="00660016"/>
    <w:rsid w:val="006718FF"/>
    <w:rsid w:val="006C468B"/>
    <w:rsid w:val="006C5C9D"/>
    <w:rsid w:val="006F0EDD"/>
    <w:rsid w:val="00704CEB"/>
    <w:rsid w:val="0071219E"/>
    <w:rsid w:val="007147B8"/>
    <w:rsid w:val="00715CE8"/>
    <w:rsid w:val="00723057"/>
    <w:rsid w:val="00732B5E"/>
    <w:rsid w:val="007333BB"/>
    <w:rsid w:val="00735E1B"/>
    <w:rsid w:val="007402D5"/>
    <w:rsid w:val="00741106"/>
    <w:rsid w:val="00741C7F"/>
    <w:rsid w:val="00742EC2"/>
    <w:rsid w:val="00744F97"/>
    <w:rsid w:val="00746A17"/>
    <w:rsid w:val="0075143D"/>
    <w:rsid w:val="00755BD8"/>
    <w:rsid w:val="00760492"/>
    <w:rsid w:val="00775153"/>
    <w:rsid w:val="007A0117"/>
    <w:rsid w:val="007A6DE3"/>
    <w:rsid w:val="007A7735"/>
    <w:rsid w:val="007B5149"/>
    <w:rsid w:val="007C1041"/>
    <w:rsid w:val="007C1874"/>
    <w:rsid w:val="007D1936"/>
    <w:rsid w:val="007E416B"/>
    <w:rsid w:val="0081305E"/>
    <w:rsid w:val="00813685"/>
    <w:rsid w:val="008164AE"/>
    <w:rsid w:val="00817066"/>
    <w:rsid w:val="00817979"/>
    <w:rsid w:val="00823114"/>
    <w:rsid w:val="00823A0F"/>
    <w:rsid w:val="00827225"/>
    <w:rsid w:val="008312A3"/>
    <w:rsid w:val="00831454"/>
    <w:rsid w:val="008360AB"/>
    <w:rsid w:val="00840B27"/>
    <w:rsid w:val="00841D71"/>
    <w:rsid w:val="0084533C"/>
    <w:rsid w:val="00865FF7"/>
    <w:rsid w:val="00883413"/>
    <w:rsid w:val="008A33B7"/>
    <w:rsid w:val="008A4BFD"/>
    <w:rsid w:val="008C078B"/>
    <w:rsid w:val="008D0F60"/>
    <w:rsid w:val="008D13E7"/>
    <w:rsid w:val="008D7898"/>
    <w:rsid w:val="008F5749"/>
    <w:rsid w:val="009152BE"/>
    <w:rsid w:val="00926ABE"/>
    <w:rsid w:val="00927746"/>
    <w:rsid w:val="00931808"/>
    <w:rsid w:val="009319F8"/>
    <w:rsid w:val="00943B39"/>
    <w:rsid w:val="00944898"/>
    <w:rsid w:val="00950A50"/>
    <w:rsid w:val="00952208"/>
    <w:rsid w:val="00954A50"/>
    <w:rsid w:val="00962D5C"/>
    <w:rsid w:val="00965715"/>
    <w:rsid w:val="0097550C"/>
    <w:rsid w:val="009800E7"/>
    <w:rsid w:val="009841CF"/>
    <w:rsid w:val="00993C4C"/>
    <w:rsid w:val="00995E38"/>
    <w:rsid w:val="009A2674"/>
    <w:rsid w:val="009A550A"/>
    <w:rsid w:val="009B1706"/>
    <w:rsid w:val="009D2F10"/>
    <w:rsid w:val="009E3392"/>
    <w:rsid w:val="00A1577C"/>
    <w:rsid w:val="00A34192"/>
    <w:rsid w:val="00A37BDE"/>
    <w:rsid w:val="00A4446C"/>
    <w:rsid w:val="00A57309"/>
    <w:rsid w:val="00A65C76"/>
    <w:rsid w:val="00A6734A"/>
    <w:rsid w:val="00A67BF8"/>
    <w:rsid w:val="00A735AA"/>
    <w:rsid w:val="00A73904"/>
    <w:rsid w:val="00A948A7"/>
    <w:rsid w:val="00AA0C57"/>
    <w:rsid w:val="00AA217A"/>
    <w:rsid w:val="00AB10A4"/>
    <w:rsid w:val="00AC16C9"/>
    <w:rsid w:val="00AD161A"/>
    <w:rsid w:val="00AD2A07"/>
    <w:rsid w:val="00AF7968"/>
    <w:rsid w:val="00AF7B98"/>
    <w:rsid w:val="00B01782"/>
    <w:rsid w:val="00B06AD5"/>
    <w:rsid w:val="00B073C3"/>
    <w:rsid w:val="00B21AAE"/>
    <w:rsid w:val="00B21BAE"/>
    <w:rsid w:val="00B25BF9"/>
    <w:rsid w:val="00B261A8"/>
    <w:rsid w:val="00B266FB"/>
    <w:rsid w:val="00B36B98"/>
    <w:rsid w:val="00B47E48"/>
    <w:rsid w:val="00B55A7A"/>
    <w:rsid w:val="00B57245"/>
    <w:rsid w:val="00B92EE0"/>
    <w:rsid w:val="00B97A40"/>
    <w:rsid w:val="00BA0E6E"/>
    <w:rsid w:val="00BA7B68"/>
    <w:rsid w:val="00BC0499"/>
    <w:rsid w:val="00BC498D"/>
    <w:rsid w:val="00BD245F"/>
    <w:rsid w:val="00BE1174"/>
    <w:rsid w:val="00BE7656"/>
    <w:rsid w:val="00BF0F30"/>
    <w:rsid w:val="00C022C4"/>
    <w:rsid w:val="00C267C1"/>
    <w:rsid w:val="00C270FD"/>
    <w:rsid w:val="00C30ECD"/>
    <w:rsid w:val="00C459FC"/>
    <w:rsid w:val="00C469B1"/>
    <w:rsid w:val="00C513EF"/>
    <w:rsid w:val="00C53796"/>
    <w:rsid w:val="00C5477D"/>
    <w:rsid w:val="00C6322E"/>
    <w:rsid w:val="00C67219"/>
    <w:rsid w:val="00C8459C"/>
    <w:rsid w:val="00C8782B"/>
    <w:rsid w:val="00C87CED"/>
    <w:rsid w:val="00C90BFB"/>
    <w:rsid w:val="00C92E99"/>
    <w:rsid w:val="00C957BB"/>
    <w:rsid w:val="00C975F2"/>
    <w:rsid w:val="00CA1765"/>
    <w:rsid w:val="00CA36B6"/>
    <w:rsid w:val="00CA54B6"/>
    <w:rsid w:val="00CC262D"/>
    <w:rsid w:val="00CC2B8A"/>
    <w:rsid w:val="00CC555A"/>
    <w:rsid w:val="00CC7B0A"/>
    <w:rsid w:val="00CC7D71"/>
    <w:rsid w:val="00CD0293"/>
    <w:rsid w:val="00CD0895"/>
    <w:rsid w:val="00CE0308"/>
    <w:rsid w:val="00CF0DA6"/>
    <w:rsid w:val="00CF49C6"/>
    <w:rsid w:val="00D02BB1"/>
    <w:rsid w:val="00D1017A"/>
    <w:rsid w:val="00D10F2E"/>
    <w:rsid w:val="00D133EE"/>
    <w:rsid w:val="00D14534"/>
    <w:rsid w:val="00D208F9"/>
    <w:rsid w:val="00D40B88"/>
    <w:rsid w:val="00D539C2"/>
    <w:rsid w:val="00D650A9"/>
    <w:rsid w:val="00D77C96"/>
    <w:rsid w:val="00D806E4"/>
    <w:rsid w:val="00D8174B"/>
    <w:rsid w:val="00D82744"/>
    <w:rsid w:val="00D85BB3"/>
    <w:rsid w:val="00D977CE"/>
    <w:rsid w:val="00DA4907"/>
    <w:rsid w:val="00DB065C"/>
    <w:rsid w:val="00DB2056"/>
    <w:rsid w:val="00DD299D"/>
    <w:rsid w:val="00DE2357"/>
    <w:rsid w:val="00E02483"/>
    <w:rsid w:val="00E13D9A"/>
    <w:rsid w:val="00E14F72"/>
    <w:rsid w:val="00E159FC"/>
    <w:rsid w:val="00E175AB"/>
    <w:rsid w:val="00E223B5"/>
    <w:rsid w:val="00E243A0"/>
    <w:rsid w:val="00E86D6D"/>
    <w:rsid w:val="00EA2FF7"/>
    <w:rsid w:val="00EB1AB4"/>
    <w:rsid w:val="00EB1DA3"/>
    <w:rsid w:val="00EC09FD"/>
    <w:rsid w:val="00EC1F74"/>
    <w:rsid w:val="00EC5BDB"/>
    <w:rsid w:val="00ED6A24"/>
    <w:rsid w:val="00EF0AB1"/>
    <w:rsid w:val="00EF2609"/>
    <w:rsid w:val="00F017DA"/>
    <w:rsid w:val="00F038F5"/>
    <w:rsid w:val="00F073AB"/>
    <w:rsid w:val="00F15FA3"/>
    <w:rsid w:val="00F2028E"/>
    <w:rsid w:val="00F21651"/>
    <w:rsid w:val="00F263F3"/>
    <w:rsid w:val="00F274DA"/>
    <w:rsid w:val="00F338E0"/>
    <w:rsid w:val="00F4143E"/>
    <w:rsid w:val="00F57E4B"/>
    <w:rsid w:val="00F726F4"/>
    <w:rsid w:val="00F72C59"/>
    <w:rsid w:val="00F76E98"/>
    <w:rsid w:val="00F77556"/>
    <w:rsid w:val="00F776F4"/>
    <w:rsid w:val="00F8468A"/>
    <w:rsid w:val="00F939F3"/>
    <w:rsid w:val="00FB17DF"/>
    <w:rsid w:val="00FB25B1"/>
    <w:rsid w:val="00FC1222"/>
    <w:rsid w:val="00FD31F1"/>
    <w:rsid w:val="00FD5E00"/>
    <w:rsid w:val="00FF534D"/>
    <w:rsid w:val="00FF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3CC11E"/>
  <w15:chartTrackingRefBased/>
  <w15:docId w15:val="{8A13BE42-BAA2-4E1C-B0E7-B445C3A1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64A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FA3"/>
    <w:rPr>
      <w:color w:val="0563C1"/>
      <w:u w:val="single"/>
    </w:rPr>
  </w:style>
  <w:style w:type="paragraph" w:styleId="ListParagraph">
    <w:name w:val="List Paragraph"/>
    <w:basedOn w:val="Normal"/>
    <w:uiPriority w:val="34"/>
    <w:qFormat/>
    <w:rsid w:val="008164AE"/>
    <w:pPr>
      <w:ind w:left="720"/>
    </w:pPr>
  </w:style>
  <w:style w:type="paragraph" w:styleId="BalloonText">
    <w:name w:val="Balloon Text"/>
    <w:basedOn w:val="Normal"/>
    <w:link w:val="BalloonTextChar"/>
    <w:uiPriority w:val="99"/>
    <w:semiHidden/>
    <w:unhideWhenUsed/>
    <w:rsid w:val="001971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1F7"/>
    <w:rPr>
      <w:rFonts w:ascii="Segoe UI" w:hAnsi="Segoe UI" w:cs="Segoe UI"/>
      <w:sz w:val="18"/>
      <w:szCs w:val="18"/>
    </w:rPr>
  </w:style>
  <w:style w:type="paragraph" w:customStyle="1" w:styleId="MemoText">
    <w:name w:val="MemoText"/>
    <w:basedOn w:val="Normal"/>
    <w:rsid w:val="00715CE8"/>
    <w:pPr>
      <w:ind w:left="850" w:right="850"/>
    </w:pPr>
    <w:rPr>
      <w:rFonts w:ascii="Arial" w:eastAsia="Times New Roman" w:hAnsi="Arial"/>
      <w:szCs w:val="20"/>
    </w:rPr>
  </w:style>
  <w:style w:type="paragraph" w:styleId="Subtitle">
    <w:name w:val="Subtitle"/>
    <w:next w:val="Normal"/>
    <w:link w:val="SubtitleChar"/>
    <w:uiPriority w:val="11"/>
    <w:qFormat/>
    <w:rsid w:val="002615D8"/>
    <w:pPr>
      <w:spacing w:after="0" w:line="240" w:lineRule="auto"/>
    </w:pPr>
    <w:rPr>
      <w:rFonts w:ascii="Calibri" w:eastAsiaTheme="majorEastAsia" w:hAnsi="Calibri" w:cstheme="majorBidi"/>
      <w:b/>
      <w:bCs/>
      <w:color w:val="4F81BD" w:themeColor="accent1"/>
      <w:sz w:val="24"/>
      <w:szCs w:val="24"/>
    </w:rPr>
  </w:style>
  <w:style w:type="character" w:customStyle="1" w:styleId="SubtitleChar">
    <w:name w:val="Subtitle Char"/>
    <w:basedOn w:val="DefaultParagraphFont"/>
    <w:link w:val="Subtitle"/>
    <w:uiPriority w:val="11"/>
    <w:rsid w:val="002615D8"/>
    <w:rPr>
      <w:rFonts w:ascii="Calibri" w:eastAsiaTheme="majorEastAsia" w:hAnsi="Calibri" w:cstheme="majorBidi"/>
      <w:b/>
      <w:bCs/>
      <w:color w:val="4F81BD" w:themeColor="accent1"/>
      <w:sz w:val="24"/>
      <w:szCs w:val="24"/>
    </w:rPr>
  </w:style>
  <w:style w:type="paragraph" w:customStyle="1" w:styleId="JMWordDoc">
    <w:name w:val="JM Word Doc"/>
    <w:basedOn w:val="Normal"/>
    <w:qFormat/>
    <w:rsid w:val="002615D8"/>
    <w:pPr>
      <w:autoSpaceDE w:val="0"/>
      <w:autoSpaceDN w:val="0"/>
      <w:adjustRightInd w:val="0"/>
    </w:pPr>
    <w:rPr>
      <w:rFonts w:eastAsia="Times New Roman"/>
      <w:szCs w:val="24"/>
    </w:rPr>
  </w:style>
  <w:style w:type="paragraph" w:customStyle="1" w:styleId="num1">
    <w:name w:val="num1"/>
    <w:basedOn w:val="Normal"/>
    <w:rsid w:val="00182753"/>
    <w:pPr>
      <w:spacing w:before="240" w:after="240"/>
      <w:ind w:left="720" w:hanging="720"/>
      <w:jc w:val="both"/>
    </w:pPr>
    <w:rPr>
      <w:rFonts w:ascii="Times New Roman" w:eastAsia="Times New Roman" w:hAnsi="Times New Roman"/>
      <w:sz w:val="24"/>
      <w:szCs w:val="20"/>
    </w:rPr>
  </w:style>
  <w:style w:type="paragraph" w:styleId="Header">
    <w:name w:val="header"/>
    <w:basedOn w:val="Normal"/>
    <w:link w:val="HeaderChar"/>
    <w:uiPriority w:val="99"/>
    <w:unhideWhenUsed/>
    <w:rsid w:val="005302D9"/>
    <w:pPr>
      <w:tabs>
        <w:tab w:val="center" w:pos="4680"/>
        <w:tab w:val="right" w:pos="9360"/>
      </w:tabs>
    </w:pPr>
  </w:style>
  <w:style w:type="character" w:customStyle="1" w:styleId="HeaderChar">
    <w:name w:val="Header Char"/>
    <w:basedOn w:val="DefaultParagraphFont"/>
    <w:link w:val="Header"/>
    <w:uiPriority w:val="99"/>
    <w:rsid w:val="005302D9"/>
    <w:rPr>
      <w:rFonts w:ascii="Calibri" w:hAnsi="Calibri" w:cs="Times New Roman"/>
    </w:rPr>
  </w:style>
  <w:style w:type="paragraph" w:styleId="Footer">
    <w:name w:val="footer"/>
    <w:basedOn w:val="Normal"/>
    <w:link w:val="FooterChar"/>
    <w:uiPriority w:val="99"/>
    <w:unhideWhenUsed/>
    <w:rsid w:val="005302D9"/>
    <w:pPr>
      <w:tabs>
        <w:tab w:val="center" w:pos="4680"/>
        <w:tab w:val="right" w:pos="9360"/>
      </w:tabs>
    </w:pPr>
  </w:style>
  <w:style w:type="character" w:customStyle="1" w:styleId="FooterChar">
    <w:name w:val="Footer Char"/>
    <w:basedOn w:val="DefaultParagraphFont"/>
    <w:link w:val="Footer"/>
    <w:uiPriority w:val="99"/>
    <w:rsid w:val="005302D9"/>
    <w:rPr>
      <w:rFonts w:ascii="Calibri" w:hAnsi="Calibri" w:cs="Times New Roman"/>
    </w:rPr>
  </w:style>
  <w:style w:type="character" w:styleId="CommentReference">
    <w:name w:val="annotation reference"/>
    <w:basedOn w:val="DefaultParagraphFont"/>
    <w:uiPriority w:val="99"/>
    <w:semiHidden/>
    <w:unhideWhenUsed/>
    <w:rsid w:val="00AA0C57"/>
    <w:rPr>
      <w:sz w:val="16"/>
      <w:szCs w:val="16"/>
    </w:rPr>
  </w:style>
  <w:style w:type="paragraph" w:styleId="CommentText">
    <w:name w:val="annotation text"/>
    <w:basedOn w:val="Normal"/>
    <w:link w:val="CommentTextChar"/>
    <w:uiPriority w:val="99"/>
    <w:semiHidden/>
    <w:unhideWhenUsed/>
    <w:rsid w:val="00AA0C57"/>
    <w:rPr>
      <w:sz w:val="20"/>
      <w:szCs w:val="20"/>
    </w:rPr>
  </w:style>
  <w:style w:type="character" w:customStyle="1" w:styleId="CommentTextChar">
    <w:name w:val="Comment Text Char"/>
    <w:basedOn w:val="DefaultParagraphFont"/>
    <w:link w:val="CommentText"/>
    <w:uiPriority w:val="99"/>
    <w:semiHidden/>
    <w:rsid w:val="00AA0C5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A0C57"/>
    <w:rPr>
      <w:b/>
      <w:bCs/>
    </w:rPr>
  </w:style>
  <w:style w:type="character" w:customStyle="1" w:styleId="CommentSubjectChar">
    <w:name w:val="Comment Subject Char"/>
    <w:basedOn w:val="CommentTextChar"/>
    <w:link w:val="CommentSubject"/>
    <w:uiPriority w:val="99"/>
    <w:semiHidden/>
    <w:rsid w:val="00AA0C57"/>
    <w:rPr>
      <w:rFonts w:ascii="Calibri" w:hAnsi="Calibri" w:cs="Times New Roman"/>
      <w:b/>
      <w:bCs/>
      <w:sz w:val="20"/>
      <w:szCs w:val="20"/>
    </w:rPr>
  </w:style>
  <w:style w:type="character" w:styleId="UnresolvedMention">
    <w:name w:val="Unresolved Mention"/>
    <w:basedOn w:val="DefaultParagraphFont"/>
    <w:uiPriority w:val="99"/>
    <w:semiHidden/>
    <w:unhideWhenUsed/>
    <w:rsid w:val="001061BE"/>
    <w:rPr>
      <w:color w:val="808080"/>
      <w:shd w:val="clear" w:color="auto" w:fill="E6E6E6"/>
    </w:rPr>
  </w:style>
  <w:style w:type="character" w:styleId="FollowedHyperlink">
    <w:name w:val="FollowedHyperlink"/>
    <w:basedOn w:val="DefaultParagraphFont"/>
    <w:uiPriority w:val="99"/>
    <w:semiHidden/>
    <w:unhideWhenUsed/>
    <w:rsid w:val="00564297"/>
    <w:rPr>
      <w:color w:val="800080" w:themeColor="followedHyperlink"/>
      <w:u w:val="single"/>
    </w:rPr>
  </w:style>
  <w:style w:type="paragraph" w:customStyle="1" w:styleId="TableParagraph">
    <w:name w:val="Table Paragraph"/>
    <w:basedOn w:val="Normal"/>
    <w:uiPriority w:val="1"/>
    <w:qFormat/>
    <w:rsid w:val="00B073C3"/>
    <w:pPr>
      <w:widowControl w:val="0"/>
      <w:autoSpaceDE w:val="0"/>
      <w:autoSpaceDN w:val="0"/>
    </w:pPr>
    <w:rPr>
      <w:rFonts w:ascii="Arial" w:eastAsia="Arial" w:hAnsi="Arial" w:cs="Arial"/>
    </w:rPr>
  </w:style>
  <w:style w:type="paragraph" w:styleId="Revision">
    <w:name w:val="Revision"/>
    <w:hidden/>
    <w:uiPriority w:val="99"/>
    <w:semiHidden/>
    <w:rsid w:val="00CC2B8A"/>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23893">
      <w:bodyDiv w:val="1"/>
      <w:marLeft w:val="0"/>
      <w:marRight w:val="0"/>
      <w:marTop w:val="0"/>
      <w:marBottom w:val="0"/>
      <w:divBdr>
        <w:top w:val="none" w:sz="0" w:space="0" w:color="auto"/>
        <w:left w:val="none" w:sz="0" w:space="0" w:color="auto"/>
        <w:bottom w:val="none" w:sz="0" w:space="0" w:color="auto"/>
        <w:right w:val="none" w:sz="0" w:space="0" w:color="auto"/>
      </w:divBdr>
    </w:div>
    <w:div w:id="1698695560">
      <w:bodyDiv w:val="1"/>
      <w:marLeft w:val="0"/>
      <w:marRight w:val="0"/>
      <w:marTop w:val="0"/>
      <w:marBottom w:val="0"/>
      <w:divBdr>
        <w:top w:val="none" w:sz="0" w:space="0" w:color="auto"/>
        <w:left w:val="none" w:sz="0" w:space="0" w:color="auto"/>
        <w:bottom w:val="none" w:sz="0" w:space="0" w:color="auto"/>
        <w:right w:val="none" w:sz="0" w:space="0" w:color="auto"/>
      </w:divBdr>
    </w:div>
    <w:div w:id="204964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houstontx.gov/ecodev/tirz.html" TargetMode="External"/><Relationship Id="rId4" Type="http://schemas.openxmlformats.org/officeDocument/2006/relationships/settings" Target="settings.xml"/><Relationship Id="rId9" Type="http://schemas.openxmlformats.org/officeDocument/2006/relationships/hyperlink" Target="https://www.houstontx.gov/completecommuniti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Affordable Units per Council District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Affordable Units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Sheet1!$A$2:$A$12</c:f>
              <c:strCache>
                <c:ptCount val="11"/>
                <c:pt idx="0">
                  <c:v>A</c:v>
                </c:pt>
                <c:pt idx="1">
                  <c:v>B</c:v>
                </c:pt>
                <c:pt idx="2">
                  <c:v>C</c:v>
                </c:pt>
                <c:pt idx="3">
                  <c:v>D</c:v>
                </c:pt>
                <c:pt idx="4">
                  <c:v>E</c:v>
                </c:pt>
                <c:pt idx="5">
                  <c:v>F</c:v>
                </c:pt>
                <c:pt idx="6">
                  <c:v>G</c:v>
                </c:pt>
                <c:pt idx="7">
                  <c:v>H</c:v>
                </c:pt>
                <c:pt idx="8">
                  <c:v>I</c:v>
                </c:pt>
                <c:pt idx="9">
                  <c:v>J</c:v>
                </c:pt>
                <c:pt idx="10">
                  <c:v>K</c:v>
                </c:pt>
              </c:strCache>
            </c:strRef>
          </c:cat>
          <c:val>
            <c:numRef>
              <c:f>Sheet1!$B$2:$B$12</c:f>
              <c:numCache>
                <c:formatCode>General</c:formatCode>
                <c:ptCount val="11"/>
                <c:pt idx="0">
                  <c:v>6883</c:v>
                </c:pt>
                <c:pt idx="1">
                  <c:v>12049</c:v>
                </c:pt>
                <c:pt idx="2">
                  <c:v>2872</c:v>
                </c:pt>
                <c:pt idx="3">
                  <c:v>7549</c:v>
                </c:pt>
                <c:pt idx="4">
                  <c:v>4126</c:v>
                </c:pt>
                <c:pt idx="5">
                  <c:v>2448</c:v>
                </c:pt>
                <c:pt idx="6">
                  <c:v>0</c:v>
                </c:pt>
                <c:pt idx="7">
                  <c:v>5960</c:v>
                </c:pt>
                <c:pt idx="8">
                  <c:v>4224</c:v>
                </c:pt>
                <c:pt idx="9">
                  <c:v>1460</c:v>
                </c:pt>
                <c:pt idx="10">
                  <c:v>5715</c:v>
                </c:pt>
              </c:numCache>
            </c:numRef>
          </c:val>
          <c:smooth val="0"/>
          <c:extLst>
            <c:ext xmlns:c16="http://schemas.microsoft.com/office/drawing/2014/chart" uri="{C3380CC4-5D6E-409C-BE32-E72D297353CC}">
              <c16:uniqueId val="{00000000-3750-4910-991C-8C63147192A0}"/>
            </c:ext>
          </c:extLst>
        </c:ser>
        <c:dLbls>
          <c:showLegendKey val="0"/>
          <c:showVal val="0"/>
          <c:showCatName val="0"/>
          <c:showSerName val="0"/>
          <c:showPercent val="0"/>
          <c:showBubbleSize val="0"/>
        </c:dLbls>
        <c:marker val="1"/>
        <c:smooth val="0"/>
        <c:axId val="479982624"/>
        <c:axId val="283837920"/>
      </c:lineChart>
      <c:catAx>
        <c:axId val="479982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3837920"/>
        <c:crosses val="autoZero"/>
        <c:auto val="1"/>
        <c:lblAlgn val="ctr"/>
        <c:lblOffset val="100"/>
        <c:noMultiLvlLbl val="0"/>
      </c:catAx>
      <c:valAx>
        <c:axId val="283837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9982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1B46C-123C-43DB-A726-D7A84CB5D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2480</Words>
  <Characters>14139</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Ray - HCD</dc:creator>
  <cp:keywords/>
  <dc:description/>
  <cp:lastModifiedBy>Bibbs, Ryan - HCD</cp:lastModifiedBy>
  <cp:revision>2</cp:revision>
  <cp:lastPrinted>2019-10-18T19:38:00Z</cp:lastPrinted>
  <dcterms:created xsi:type="dcterms:W3CDTF">2020-01-06T20:54:00Z</dcterms:created>
  <dcterms:modified xsi:type="dcterms:W3CDTF">2020-01-06T20:54:00Z</dcterms:modified>
</cp:coreProperties>
</file>