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34" w:type="pct"/>
        <w:jc w:val="center"/>
        <w:tblLook w:val="04A0" w:firstRow="1" w:lastRow="0" w:firstColumn="1" w:lastColumn="0" w:noHBand="0" w:noVBand="1"/>
      </w:tblPr>
      <w:tblGrid>
        <w:gridCol w:w="10498"/>
      </w:tblGrid>
      <w:tr w:rsidR="00A94AAB" w:rsidRPr="00C97D84" w14:paraId="5606D614" w14:textId="77777777" w:rsidTr="00A94AAB">
        <w:trPr>
          <w:trHeight w:val="360"/>
          <w:jc w:val="center"/>
        </w:trPr>
        <w:tc>
          <w:tcPr>
            <w:tcW w:w="5000" w:type="pct"/>
            <w:vAlign w:val="center"/>
          </w:tcPr>
          <w:p w14:paraId="501BCFFC" w14:textId="77777777" w:rsidR="00A94AAB" w:rsidRPr="0022369F" w:rsidRDefault="00A94AAB" w:rsidP="00A94AAB">
            <w:pPr>
              <w:pStyle w:val="NoSpacing"/>
              <w:spacing w:line="276" w:lineRule="auto"/>
              <w:rPr>
                <w:rFonts w:ascii="Calibri" w:eastAsiaTheme="majorEastAsia" w:hAnsi="Calibri" w:cs="Calibri"/>
                <w:sz w:val="48"/>
                <w:szCs w:val="56"/>
              </w:rPr>
            </w:pPr>
          </w:p>
        </w:tc>
      </w:tr>
    </w:tbl>
    <w:p w14:paraId="5F4FADCE" w14:textId="06030C1A" w:rsidR="00A94AAB" w:rsidRDefault="00A94AAB" w:rsidP="00A94AAB">
      <w:pPr>
        <w:spacing w:after="0"/>
        <w:rPr>
          <w:rFonts w:ascii="Calibri" w:hAnsi="Calibri" w:cs="Calibri"/>
        </w:rPr>
      </w:pPr>
    </w:p>
    <w:p w14:paraId="3DF3ED0E" w14:textId="51DA00FC" w:rsidR="00FA5287" w:rsidRDefault="00FA5287" w:rsidP="00A94AAB">
      <w:pPr>
        <w:spacing w:after="0"/>
        <w:rPr>
          <w:rFonts w:ascii="Calibri" w:hAnsi="Calibri" w:cs="Calibri"/>
        </w:rPr>
      </w:pPr>
    </w:p>
    <w:p w14:paraId="3364A7A7" w14:textId="37807EEB" w:rsidR="00FA5287" w:rsidRDefault="00FA5287" w:rsidP="00A94AAB">
      <w:pPr>
        <w:spacing w:after="0"/>
        <w:rPr>
          <w:rFonts w:ascii="Calibri" w:hAnsi="Calibri" w:cs="Calibri"/>
        </w:rPr>
      </w:pPr>
    </w:p>
    <w:p w14:paraId="5791E1A0" w14:textId="12899251" w:rsidR="00FA5287" w:rsidRDefault="00FA5287" w:rsidP="00A94AAB">
      <w:pPr>
        <w:spacing w:after="0"/>
        <w:rPr>
          <w:rFonts w:ascii="Calibri" w:hAnsi="Calibri" w:cs="Calibri"/>
        </w:rPr>
      </w:pPr>
    </w:p>
    <w:tbl>
      <w:tblPr>
        <w:tblW w:w="5134" w:type="pct"/>
        <w:jc w:val="center"/>
        <w:tblLook w:val="04A0" w:firstRow="1" w:lastRow="0" w:firstColumn="1" w:lastColumn="0" w:noHBand="0" w:noVBand="1"/>
      </w:tblPr>
      <w:tblGrid>
        <w:gridCol w:w="10498"/>
      </w:tblGrid>
      <w:tr w:rsidR="00852AD0" w:rsidRPr="00C97D84" w14:paraId="59D2CBFC" w14:textId="77777777" w:rsidTr="00852AD0">
        <w:trPr>
          <w:trHeight w:val="2079"/>
          <w:jc w:val="center"/>
        </w:trPr>
        <w:tc>
          <w:tcPr>
            <w:tcW w:w="5000" w:type="pct"/>
          </w:tcPr>
          <w:p w14:paraId="148F317D" w14:textId="77777777" w:rsidR="00852AD0" w:rsidRPr="00C97D84" w:rsidRDefault="00852AD0" w:rsidP="00852AD0">
            <w:pPr>
              <w:pStyle w:val="NoSpacing"/>
              <w:spacing w:line="276" w:lineRule="auto"/>
              <w:jc w:val="center"/>
              <w:rPr>
                <w:rFonts w:ascii="Calibri" w:eastAsiaTheme="majorEastAsia" w:hAnsi="Calibri" w:cs="Calibri"/>
                <w:b/>
                <w:sz w:val="48"/>
                <w:szCs w:val="36"/>
              </w:rPr>
            </w:pPr>
            <w:bookmarkStart w:id="0" w:name="_Hlk7511129"/>
          </w:p>
          <w:p w14:paraId="546A44E0" w14:textId="77777777" w:rsidR="00852AD0" w:rsidRPr="00C97D84" w:rsidRDefault="00852AD0" w:rsidP="00852AD0">
            <w:pPr>
              <w:pStyle w:val="NoSpacing"/>
              <w:spacing w:line="276" w:lineRule="auto"/>
              <w:jc w:val="center"/>
              <w:rPr>
                <w:rFonts w:ascii="Calibri" w:eastAsiaTheme="majorEastAsia" w:hAnsi="Calibri" w:cs="Calibri"/>
                <w:b/>
                <w:sz w:val="48"/>
                <w:szCs w:val="36"/>
              </w:rPr>
            </w:pPr>
            <w:r w:rsidRPr="00C97D84">
              <w:rPr>
                <w:rFonts w:ascii="Calibri" w:eastAsiaTheme="majorEastAsia" w:hAnsi="Calibri" w:cs="Calibri"/>
                <w:b/>
                <w:sz w:val="48"/>
                <w:szCs w:val="36"/>
              </w:rPr>
              <w:t xml:space="preserve">City of Houston </w:t>
            </w:r>
          </w:p>
          <w:p w14:paraId="0BE1359F" w14:textId="77777777" w:rsidR="00852AD0" w:rsidRPr="00C97D84" w:rsidRDefault="00852AD0" w:rsidP="00852AD0">
            <w:pPr>
              <w:pStyle w:val="NoSpacing"/>
              <w:spacing w:line="276" w:lineRule="auto"/>
              <w:jc w:val="center"/>
              <w:rPr>
                <w:rFonts w:ascii="Calibri" w:eastAsiaTheme="majorEastAsia" w:hAnsi="Calibri" w:cs="Calibri"/>
              </w:rPr>
            </w:pPr>
            <w:r>
              <w:rPr>
                <w:rFonts w:ascii="Calibri" w:eastAsiaTheme="majorEastAsia" w:hAnsi="Calibri" w:cs="Calibri"/>
                <w:b/>
                <w:sz w:val="48"/>
                <w:szCs w:val="36"/>
              </w:rPr>
              <w:t>Voluntary Buyout</w:t>
            </w:r>
            <w:r w:rsidRPr="00C97D84">
              <w:rPr>
                <w:rFonts w:ascii="Calibri" w:eastAsiaTheme="majorEastAsia" w:hAnsi="Calibri" w:cs="Calibri"/>
                <w:b/>
                <w:sz w:val="48"/>
                <w:szCs w:val="36"/>
              </w:rPr>
              <w:t xml:space="preserve"> Program</w:t>
            </w:r>
          </w:p>
        </w:tc>
      </w:tr>
      <w:tr w:rsidR="00852AD0" w:rsidRPr="0022369F" w14:paraId="1A6C7C4E" w14:textId="77777777" w:rsidTr="00852AD0">
        <w:trPr>
          <w:trHeight w:val="2250"/>
          <w:jc w:val="center"/>
        </w:trPr>
        <w:tc>
          <w:tcPr>
            <w:tcW w:w="5000" w:type="pct"/>
            <w:tcBorders>
              <w:top w:val="single" w:sz="18" w:space="0" w:color="auto"/>
              <w:left w:val="nil"/>
              <w:bottom w:val="single" w:sz="18" w:space="0" w:color="auto"/>
              <w:right w:val="nil"/>
            </w:tcBorders>
            <w:vAlign w:val="center"/>
            <w:hideMark/>
          </w:tcPr>
          <w:p w14:paraId="06E8575F" w14:textId="40F08B7B" w:rsidR="00852AD0" w:rsidRPr="0022369F" w:rsidRDefault="00852AD0" w:rsidP="00852AD0">
            <w:pPr>
              <w:pStyle w:val="NoSpacing"/>
              <w:spacing w:line="276" w:lineRule="auto"/>
              <w:jc w:val="center"/>
              <w:rPr>
                <w:rFonts w:ascii="Calibri" w:eastAsiaTheme="majorEastAsia" w:hAnsi="Calibri" w:cs="Calibri"/>
                <w:sz w:val="48"/>
                <w:szCs w:val="56"/>
              </w:rPr>
            </w:pPr>
            <w:r>
              <w:rPr>
                <w:rFonts w:ascii="Calibri" w:eastAsiaTheme="majorEastAsia" w:hAnsi="Calibri" w:cs="Calibri"/>
                <w:sz w:val="48"/>
                <w:szCs w:val="56"/>
              </w:rPr>
              <w:t xml:space="preserve">Multifamily Voluntary Buyout Program (MVB) Guidelines </w:t>
            </w:r>
          </w:p>
        </w:tc>
      </w:tr>
      <w:tr w:rsidR="00852AD0" w:rsidRPr="0022369F" w14:paraId="6D8463F2" w14:textId="77777777" w:rsidTr="00852AD0">
        <w:trPr>
          <w:trHeight w:val="369"/>
          <w:jc w:val="center"/>
        </w:trPr>
        <w:sdt>
          <w:sdtPr>
            <w:rPr>
              <w:rFonts w:ascii="Calibri" w:eastAsiaTheme="majorEastAsia" w:hAnsi="Calibri" w:cs="Calibri"/>
              <w:sz w:val="40"/>
              <w:szCs w:val="40"/>
            </w:rPr>
            <w:alias w:val="Subtitle"/>
            <w:id w:val="992528768"/>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18" w:space="0" w:color="auto"/>
                  <w:left w:val="nil"/>
                  <w:bottom w:val="nil"/>
                  <w:right w:val="nil"/>
                </w:tcBorders>
                <w:vAlign w:val="center"/>
                <w:hideMark/>
              </w:tcPr>
              <w:p w14:paraId="4EE976EE" w14:textId="77D4475A" w:rsidR="00852AD0" w:rsidRPr="0022369F" w:rsidRDefault="00852AD0" w:rsidP="00852AD0">
                <w:pPr>
                  <w:pStyle w:val="NoSpacing"/>
                  <w:spacing w:line="276" w:lineRule="auto"/>
                  <w:jc w:val="center"/>
                  <w:rPr>
                    <w:rFonts w:ascii="Calibri" w:eastAsiaTheme="majorEastAsia" w:hAnsi="Calibri" w:cs="Calibri"/>
                    <w:sz w:val="44"/>
                    <w:szCs w:val="44"/>
                  </w:rPr>
                </w:pPr>
                <w:r w:rsidRPr="0022369F">
                  <w:rPr>
                    <w:rFonts w:ascii="Calibri" w:eastAsiaTheme="majorEastAsia" w:hAnsi="Calibri" w:cs="Calibri"/>
                    <w:sz w:val="40"/>
                    <w:szCs w:val="40"/>
                  </w:rPr>
                  <w:t xml:space="preserve">     </w:t>
                </w:r>
              </w:p>
            </w:tc>
          </w:sdtContent>
        </w:sdt>
      </w:tr>
      <w:tr w:rsidR="00852AD0" w:rsidRPr="0022369F" w14:paraId="61D8ADEC" w14:textId="77777777" w:rsidTr="00852AD0">
        <w:trPr>
          <w:trHeight w:val="360"/>
          <w:jc w:val="center"/>
        </w:trPr>
        <w:tc>
          <w:tcPr>
            <w:tcW w:w="5000" w:type="pct"/>
            <w:vAlign w:val="center"/>
          </w:tcPr>
          <w:p w14:paraId="0AFB32CE" w14:textId="77777777" w:rsidR="00852AD0" w:rsidRPr="0022369F" w:rsidRDefault="00852AD0" w:rsidP="00852AD0">
            <w:pPr>
              <w:pStyle w:val="NoSpacing"/>
              <w:spacing w:line="276" w:lineRule="auto"/>
              <w:jc w:val="center"/>
              <w:rPr>
                <w:rFonts w:ascii="Calibri" w:hAnsi="Calibri" w:cs="Calibri"/>
              </w:rPr>
            </w:pPr>
          </w:p>
        </w:tc>
      </w:tr>
      <w:tr w:rsidR="00852AD0" w:rsidRPr="0022369F" w14:paraId="14ED2D57" w14:textId="77777777" w:rsidTr="00852AD0">
        <w:trPr>
          <w:trHeight w:val="360"/>
          <w:jc w:val="center"/>
        </w:trPr>
        <w:tc>
          <w:tcPr>
            <w:tcW w:w="5000" w:type="pct"/>
            <w:vAlign w:val="center"/>
          </w:tcPr>
          <w:p w14:paraId="50953390" w14:textId="77777777" w:rsidR="00852AD0" w:rsidRDefault="00852AD0" w:rsidP="00852AD0">
            <w:pPr>
              <w:rPr>
                <w:rFonts w:ascii="Calibri" w:hAnsi="Calibri" w:cs="Calibri"/>
                <w:sz w:val="52"/>
                <w:szCs w:val="52"/>
              </w:rPr>
            </w:pPr>
          </w:p>
          <w:p w14:paraId="06E80CAF" w14:textId="77777777" w:rsidR="00852AD0" w:rsidRDefault="00852AD0" w:rsidP="00852AD0">
            <w:pPr>
              <w:rPr>
                <w:rFonts w:ascii="Calibri" w:hAnsi="Calibri" w:cs="Calibri"/>
                <w:sz w:val="52"/>
                <w:szCs w:val="52"/>
              </w:rPr>
            </w:pPr>
          </w:p>
          <w:p w14:paraId="0F3B423C" w14:textId="3C76610F" w:rsidR="00852AD0" w:rsidRDefault="007574F4" w:rsidP="00F63F93">
            <w:pPr>
              <w:spacing w:after="0" w:line="240" w:lineRule="auto"/>
              <w:jc w:val="center"/>
              <w:rPr>
                <w:rFonts w:ascii="Calibri" w:hAnsi="Calibri" w:cs="Calibri"/>
                <w:sz w:val="36"/>
                <w:szCs w:val="36"/>
              </w:rPr>
            </w:pPr>
            <w:r>
              <w:rPr>
                <w:rFonts w:ascii="Calibri" w:hAnsi="Calibri" w:cs="Calibri"/>
                <w:sz w:val="36"/>
                <w:szCs w:val="36"/>
              </w:rPr>
              <w:t>January 10, 2020</w:t>
            </w:r>
          </w:p>
          <w:p w14:paraId="24764A9A" w14:textId="73421536" w:rsidR="00F63F93" w:rsidRPr="00F63F93" w:rsidRDefault="00F63F93" w:rsidP="00F63F93">
            <w:pPr>
              <w:spacing w:after="0" w:line="240" w:lineRule="auto"/>
              <w:jc w:val="center"/>
              <w:rPr>
                <w:rFonts w:ascii="Calibri" w:hAnsi="Calibri" w:cs="Calibri"/>
                <w:sz w:val="20"/>
                <w:szCs w:val="36"/>
              </w:rPr>
            </w:pPr>
            <w:r>
              <w:rPr>
                <w:rFonts w:ascii="Calibri" w:hAnsi="Calibri" w:cs="Calibri"/>
                <w:sz w:val="20"/>
                <w:szCs w:val="36"/>
              </w:rPr>
              <w:t>Version 6.0</w:t>
            </w:r>
          </w:p>
          <w:p w14:paraId="6F68B529" w14:textId="77777777" w:rsidR="00852AD0" w:rsidRPr="0022369F" w:rsidRDefault="00852AD0" w:rsidP="00852AD0">
            <w:pPr>
              <w:jc w:val="center"/>
              <w:rPr>
                <w:rFonts w:ascii="Calibri" w:hAnsi="Calibri" w:cs="Calibri"/>
                <w:sz w:val="52"/>
                <w:szCs w:val="52"/>
              </w:rPr>
            </w:pPr>
          </w:p>
          <w:p w14:paraId="1EFADD08" w14:textId="77777777" w:rsidR="00852AD0" w:rsidRPr="0022369F" w:rsidRDefault="00852AD0" w:rsidP="00852AD0">
            <w:pPr>
              <w:jc w:val="center"/>
              <w:rPr>
                <w:rFonts w:ascii="Calibri" w:hAnsi="Calibri" w:cs="Calibri"/>
                <w:sz w:val="52"/>
                <w:szCs w:val="52"/>
              </w:rPr>
            </w:pPr>
          </w:p>
          <w:p w14:paraId="18FE4E8E" w14:textId="77777777" w:rsidR="00852AD0" w:rsidRPr="0022369F" w:rsidRDefault="00852AD0" w:rsidP="00852AD0">
            <w:pPr>
              <w:jc w:val="center"/>
              <w:rPr>
                <w:rFonts w:ascii="Calibri" w:eastAsiaTheme="majorEastAsia" w:hAnsi="Calibri" w:cs="Calibri"/>
                <w:sz w:val="36"/>
                <w:szCs w:val="36"/>
              </w:rPr>
            </w:pPr>
            <w:r w:rsidRPr="0022369F">
              <w:rPr>
                <w:rFonts w:ascii="Calibri" w:eastAsiaTheme="majorEastAsia" w:hAnsi="Calibri" w:cs="Calibri"/>
                <w:sz w:val="36"/>
                <w:szCs w:val="36"/>
              </w:rPr>
              <w:t>City of Houston</w:t>
            </w:r>
          </w:p>
          <w:p w14:paraId="6F185E79" w14:textId="77777777" w:rsidR="00852AD0" w:rsidRPr="0022369F" w:rsidRDefault="00852AD0" w:rsidP="00852AD0">
            <w:pPr>
              <w:jc w:val="center"/>
              <w:rPr>
                <w:rFonts w:ascii="Calibri" w:hAnsi="Calibri" w:cs="Calibri"/>
                <w:sz w:val="36"/>
                <w:szCs w:val="36"/>
              </w:rPr>
            </w:pPr>
            <w:r w:rsidRPr="0022369F">
              <w:rPr>
                <w:rFonts w:ascii="Calibri" w:eastAsiaTheme="majorEastAsia" w:hAnsi="Calibri" w:cs="Calibri"/>
                <w:sz w:val="36"/>
                <w:szCs w:val="36"/>
              </w:rPr>
              <w:t>Housing and Community Development Department</w:t>
            </w:r>
          </w:p>
        </w:tc>
      </w:tr>
    </w:tbl>
    <w:p w14:paraId="42BEE313" w14:textId="301A2BD7" w:rsidR="00FA5287" w:rsidRDefault="00FA5287" w:rsidP="00A94AAB">
      <w:pPr>
        <w:spacing w:after="0"/>
        <w:rPr>
          <w:rFonts w:ascii="Calibri" w:hAnsi="Calibri" w:cs="Calibri"/>
        </w:rPr>
      </w:pPr>
    </w:p>
    <w:p w14:paraId="0ECBB14C" w14:textId="4D2B0D1C" w:rsidR="00A94AAB" w:rsidRPr="001F1BA3" w:rsidRDefault="00A94AAB" w:rsidP="00A94AAB">
      <w:pPr>
        <w:rPr>
          <w:rFonts w:ascii="Calibri" w:hAnsi="Calibri" w:cs="Calibri"/>
          <w:b/>
        </w:rPr>
      </w:pPr>
      <w:r w:rsidRPr="001F1BA3">
        <w:rPr>
          <w:rFonts w:ascii="Calibri" w:hAnsi="Calibri" w:cs="Calibri"/>
          <w:b/>
        </w:rPr>
        <w:lastRenderedPageBreak/>
        <w:t xml:space="preserve">Version Table </w:t>
      </w:r>
    </w:p>
    <w:tbl>
      <w:tblPr>
        <w:tblStyle w:val="TableGrid"/>
        <w:tblW w:w="10525" w:type="dxa"/>
        <w:tblLook w:val="04A0" w:firstRow="1" w:lastRow="0" w:firstColumn="1" w:lastColumn="0" w:noHBand="0" w:noVBand="1"/>
      </w:tblPr>
      <w:tblGrid>
        <w:gridCol w:w="1065"/>
        <w:gridCol w:w="1831"/>
        <w:gridCol w:w="6761"/>
        <w:gridCol w:w="868"/>
      </w:tblGrid>
      <w:tr w:rsidR="00A94AAB" w14:paraId="57F528AF" w14:textId="77777777" w:rsidTr="00214BD2">
        <w:tc>
          <w:tcPr>
            <w:tcW w:w="1065" w:type="dxa"/>
            <w:shd w:val="clear" w:color="auto" w:fill="000000" w:themeFill="text1"/>
          </w:tcPr>
          <w:p w14:paraId="375D74F2" w14:textId="77777777" w:rsidR="00A94AAB" w:rsidRDefault="00A94AAB" w:rsidP="00A94AAB">
            <w:pPr>
              <w:jc w:val="center"/>
              <w:rPr>
                <w:rFonts w:ascii="Calibri" w:hAnsi="Calibri" w:cs="Calibri"/>
              </w:rPr>
            </w:pPr>
            <w:r>
              <w:rPr>
                <w:rFonts w:ascii="Calibri" w:hAnsi="Calibri" w:cs="Calibri"/>
              </w:rPr>
              <w:t>Version #</w:t>
            </w:r>
          </w:p>
        </w:tc>
        <w:tc>
          <w:tcPr>
            <w:tcW w:w="1831" w:type="dxa"/>
            <w:shd w:val="clear" w:color="auto" w:fill="000000" w:themeFill="text1"/>
          </w:tcPr>
          <w:p w14:paraId="175C3492" w14:textId="77777777" w:rsidR="00A94AAB" w:rsidRDefault="00A94AAB" w:rsidP="00A94AAB">
            <w:pPr>
              <w:jc w:val="center"/>
              <w:rPr>
                <w:rFonts w:ascii="Calibri" w:hAnsi="Calibri" w:cs="Calibri"/>
              </w:rPr>
            </w:pPr>
            <w:r>
              <w:rPr>
                <w:rFonts w:ascii="Calibri" w:hAnsi="Calibri" w:cs="Calibri"/>
              </w:rPr>
              <w:t>Date</w:t>
            </w:r>
          </w:p>
        </w:tc>
        <w:tc>
          <w:tcPr>
            <w:tcW w:w="6761" w:type="dxa"/>
            <w:shd w:val="clear" w:color="auto" w:fill="000000" w:themeFill="text1"/>
          </w:tcPr>
          <w:p w14:paraId="4759718C" w14:textId="77777777" w:rsidR="00A94AAB" w:rsidRDefault="00A94AAB" w:rsidP="00A94AAB">
            <w:pPr>
              <w:jc w:val="center"/>
              <w:rPr>
                <w:rFonts w:ascii="Calibri" w:hAnsi="Calibri" w:cs="Calibri"/>
              </w:rPr>
            </w:pPr>
            <w:r>
              <w:rPr>
                <w:rFonts w:ascii="Calibri" w:hAnsi="Calibri" w:cs="Calibri"/>
              </w:rPr>
              <w:t xml:space="preserve">Noted Edits </w:t>
            </w:r>
          </w:p>
        </w:tc>
        <w:tc>
          <w:tcPr>
            <w:tcW w:w="868" w:type="dxa"/>
            <w:shd w:val="clear" w:color="auto" w:fill="000000" w:themeFill="text1"/>
          </w:tcPr>
          <w:p w14:paraId="4D65DDA7" w14:textId="77777777" w:rsidR="00A94AAB" w:rsidRDefault="00A94AAB" w:rsidP="00A94AAB">
            <w:pPr>
              <w:jc w:val="center"/>
              <w:rPr>
                <w:rFonts w:ascii="Calibri" w:hAnsi="Calibri" w:cs="Calibri"/>
              </w:rPr>
            </w:pPr>
            <w:r>
              <w:rPr>
                <w:rFonts w:ascii="Calibri" w:hAnsi="Calibri" w:cs="Calibri"/>
              </w:rPr>
              <w:t>Page(s)</w:t>
            </w:r>
          </w:p>
        </w:tc>
      </w:tr>
      <w:tr w:rsidR="00A94AAB" w14:paraId="59BC14B9" w14:textId="77777777" w:rsidTr="00214BD2">
        <w:tc>
          <w:tcPr>
            <w:tcW w:w="1065" w:type="dxa"/>
          </w:tcPr>
          <w:p w14:paraId="73269351" w14:textId="77777777" w:rsidR="00A94AAB" w:rsidRDefault="00A94AAB" w:rsidP="00A94AAB">
            <w:pPr>
              <w:jc w:val="center"/>
              <w:rPr>
                <w:rFonts w:ascii="Calibri" w:hAnsi="Calibri" w:cs="Calibri"/>
              </w:rPr>
            </w:pPr>
            <w:r>
              <w:rPr>
                <w:rFonts w:ascii="Calibri" w:hAnsi="Calibri" w:cs="Calibri"/>
              </w:rPr>
              <w:t>1</w:t>
            </w:r>
          </w:p>
        </w:tc>
        <w:tc>
          <w:tcPr>
            <w:tcW w:w="1831" w:type="dxa"/>
          </w:tcPr>
          <w:p w14:paraId="29EE9126" w14:textId="77777777" w:rsidR="00A94AAB" w:rsidRDefault="004D4A6B" w:rsidP="00A94AAB">
            <w:pPr>
              <w:jc w:val="center"/>
              <w:rPr>
                <w:rFonts w:ascii="Calibri" w:hAnsi="Calibri" w:cs="Calibri"/>
              </w:rPr>
            </w:pPr>
            <w:r>
              <w:rPr>
                <w:rFonts w:ascii="Calibri" w:hAnsi="Calibri" w:cs="Calibri"/>
              </w:rPr>
              <w:t xml:space="preserve">March 05, 2019 </w:t>
            </w:r>
          </w:p>
          <w:p w14:paraId="4043290F" w14:textId="77777777" w:rsidR="00A94AAB" w:rsidRDefault="00A94AAB" w:rsidP="00A94AAB">
            <w:pPr>
              <w:jc w:val="center"/>
              <w:rPr>
                <w:rFonts w:ascii="Calibri" w:hAnsi="Calibri" w:cs="Calibri"/>
              </w:rPr>
            </w:pPr>
          </w:p>
        </w:tc>
        <w:tc>
          <w:tcPr>
            <w:tcW w:w="6761" w:type="dxa"/>
          </w:tcPr>
          <w:p w14:paraId="6B8AFE83" w14:textId="77777777" w:rsidR="00A94AAB" w:rsidRPr="00823D8E" w:rsidRDefault="00A94AAB" w:rsidP="00A94AAB">
            <w:pPr>
              <w:jc w:val="center"/>
              <w:rPr>
                <w:rFonts w:ascii="Calibri" w:hAnsi="Calibri" w:cs="Calibri"/>
              </w:rPr>
            </w:pPr>
            <w:r>
              <w:rPr>
                <w:rFonts w:ascii="Calibri" w:hAnsi="Calibri" w:cs="Calibri"/>
              </w:rPr>
              <w:t>N/A</w:t>
            </w:r>
          </w:p>
        </w:tc>
        <w:tc>
          <w:tcPr>
            <w:tcW w:w="868" w:type="dxa"/>
          </w:tcPr>
          <w:p w14:paraId="4E52CE2B" w14:textId="77777777" w:rsidR="00A94AAB" w:rsidRPr="00823D8E" w:rsidRDefault="00A94AAB" w:rsidP="00A94AAB">
            <w:pPr>
              <w:jc w:val="center"/>
              <w:rPr>
                <w:rFonts w:ascii="Calibri" w:hAnsi="Calibri" w:cs="Calibri"/>
              </w:rPr>
            </w:pPr>
            <w:r>
              <w:rPr>
                <w:rFonts w:ascii="Calibri" w:hAnsi="Calibri" w:cs="Calibri"/>
              </w:rPr>
              <w:t>N/A</w:t>
            </w:r>
          </w:p>
        </w:tc>
      </w:tr>
      <w:tr w:rsidR="004D4A6B" w14:paraId="3965293A" w14:textId="77777777" w:rsidTr="00214BD2">
        <w:tc>
          <w:tcPr>
            <w:tcW w:w="1065" w:type="dxa"/>
          </w:tcPr>
          <w:p w14:paraId="1F73D387" w14:textId="77777777" w:rsidR="004D4A6B" w:rsidRDefault="004D4A6B" w:rsidP="00A94AAB">
            <w:pPr>
              <w:jc w:val="center"/>
              <w:rPr>
                <w:rFonts w:ascii="Calibri" w:hAnsi="Calibri" w:cs="Calibri"/>
              </w:rPr>
            </w:pPr>
            <w:r>
              <w:rPr>
                <w:rFonts w:ascii="Calibri" w:hAnsi="Calibri" w:cs="Calibri"/>
              </w:rPr>
              <w:t>2</w:t>
            </w:r>
          </w:p>
        </w:tc>
        <w:tc>
          <w:tcPr>
            <w:tcW w:w="1831" w:type="dxa"/>
          </w:tcPr>
          <w:p w14:paraId="39869F1C" w14:textId="77777777" w:rsidR="004D4A6B" w:rsidRDefault="004D4A6B" w:rsidP="00A94AAB">
            <w:pPr>
              <w:jc w:val="center"/>
              <w:rPr>
                <w:rFonts w:ascii="Calibri" w:hAnsi="Calibri" w:cs="Calibri"/>
              </w:rPr>
            </w:pPr>
            <w:r>
              <w:rPr>
                <w:rFonts w:ascii="Calibri" w:hAnsi="Calibri" w:cs="Calibri"/>
              </w:rPr>
              <w:t xml:space="preserve">March 28, 2019 </w:t>
            </w:r>
          </w:p>
        </w:tc>
        <w:tc>
          <w:tcPr>
            <w:tcW w:w="6761" w:type="dxa"/>
          </w:tcPr>
          <w:p w14:paraId="7C92D06E" w14:textId="6C622EB1" w:rsidR="004D4A6B" w:rsidRDefault="00AB6F6A" w:rsidP="00A94AAB">
            <w:pPr>
              <w:jc w:val="center"/>
              <w:rPr>
                <w:rFonts w:ascii="Calibri" w:hAnsi="Calibri" w:cs="Calibri"/>
              </w:rPr>
            </w:pPr>
            <w:r>
              <w:rPr>
                <w:rFonts w:ascii="Calibri" w:hAnsi="Calibri" w:cs="Calibri"/>
              </w:rPr>
              <w:t>Program area feedback incorporated</w:t>
            </w:r>
            <w:r w:rsidR="004D4A6B">
              <w:rPr>
                <w:rFonts w:ascii="Calibri" w:hAnsi="Calibri" w:cs="Calibri"/>
              </w:rPr>
              <w:t xml:space="preserve"> </w:t>
            </w:r>
          </w:p>
        </w:tc>
        <w:tc>
          <w:tcPr>
            <w:tcW w:w="868" w:type="dxa"/>
          </w:tcPr>
          <w:p w14:paraId="2753154E" w14:textId="77777777" w:rsidR="004D4A6B" w:rsidRDefault="004D4A6B" w:rsidP="00A94AAB">
            <w:pPr>
              <w:jc w:val="center"/>
              <w:rPr>
                <w:rFonts w:ascii="Calibri" w:hAnsi="Calibri" w:cs="Calibri"/>
              </w:rPr>
            </w:pPr>
          </w:p>
        </w:tc>
      </w:tr>
      <w:tr w:rsidR="004D4A6B" w14:paraId="35A105B8" w14:textId="77777777" w:rsidTr="00214BD2">
        <w:tc>
          <w:tcPr>
            <w:tcW w:w="1065" w:type="dxa"/>
          </w:tcPr>
          <w:p w14:paraId="78EB7261" w14:textId="77777777" w:rsidR="004D4A6B" w:rsidRDefault="004D4A6B" w:rsidP="00A94AAB">
            <w:pPr>
              <w:jc w:val="center"/>
              <w:rPr>
                <w:rFonts w:ascii="Calibri" w:hAnsi="Calibri" w:cs="Calibri"/>
              </w:rPr>
            </w:pPr>
            <w:r>
              <w:rPr>
                <w:rFonts w:ascii="Calibri" w:hAnsi="Calibri" w:cs="Calibri"/>
              </w:rPr>
              <w:t>3</w:t>
            </w:r>
          </w:p>
        </w:tc>
        <w:tc>
          <w:tcPr>
            <w:tcW w:w="1831" w:type="dxa"/>
          </w:tcPr>
          <w:p w14:paraId="7B8FEB0C" w14:textId="407107E4" w:rsidR="004D4A6B" w:rsidRDefault="00EE540A" w:rsidP="00A94AAB">
            <w:pPr>
              <w:jc w:val="center"/>
              <w:rPr>
                <w:rFonts w:ascii="Calibri" w:hAnsi="Calibri" w:cs="Calibri"/>
              </w:rPr>
            </w:pPr>
            <w:r>
              <w:rPr>
                <w:rFonts w:ascii="Calibri" w:hAnsi="Calibri" w:cs="Calibri"/>
              </w:rPr>
              <w:t>April 2</w:t>
            </w:r>
            <w:r w:rsidR="004D4A6B">
              <w:rPr>
                <w:rFonts w:ascii="Calibri" w:hAnsi="Calibri" w:cs="Calibri"/>
              </w:rPr>
              <w:t xml:space="preserve">, 2019 </w:t>
            </w:r>
          </w:p>
        </w:tc>
        <w:tc>
          <w:tcPr>
            <w:tcW w:w="6761" w:type="dxa"/>
          </w:tcPr>
          <w:p w14:paraId="1192900E" w14:textId="5E72A0EC" w:rsidR="004D4A6B" w:rsidRDefault="00C85BA2" w:rsidP="00C85BA2">
            <w:pPr>
              <w:jc w:val="center"/>
              <w:rPr>
                <w:rFonts w:ascii="Calibri" w:hAnsi="Calibri" w:cs="Calibri"/>
              </w:rPr>
            </w:pPr>
            <w:r>
              <w:rPr>
                <w:rFonts w:ascii="Calibri" w:hAnsi="Calibri" w:cs="Calibri"/>
              </w:rPr>
              <w:t>Buyout Guidelines Revised</w:t>
            </w:r>
            <w:r w:rsidR="004D4A6B">
              <w:rPr>
                <w:rFonts w:ascii="Calibri" w:hAnsi="Calibri" w:cs="Calibri"/>
              </w:rPr>
              <w:t xml:space="preserve"> </w:t>
            </w:r>
          </w:p>
          <w:p w14:paraId="449DE3F1" w14:textId="54CED299" w:rsidR="00C85BA2" w:rsidRDefault="00C85BA2" w:rsidP="00C85BA2">
            <w:pPr>
              <w:rPr>
                <w:rFonts w:ascii="Calibri" w:hAnsi="Calibri" w:cs="Calibri"/>
              </w:rPr>
            </w:pPr>
            <w:r>
              <w:rPr>
                <w:rFonts w:ascii="Calibri" w:hAnsi="Calibri" w:cs="Calibri"/>
              </w:rPr>
              <w:t xml:space="preserve">The following sections were added to the agreement for consideration: </w:t>
            </w:r>
          </w:p>
          <w:p w14:paraId="47BA32DD" w14:textId="77777777" w:rsidR="00C85BA2" w:rsidRDefault="00C85BA2" w:rsidP="00E14863">
            <w:pPr>
              <w:pStyle w:val="ListParagraph"/>
              <w:numPr>
                <w:ilvl w:val="0"/>
                <w:numId w:val="25"/>
              </w:numPr>
              <w:rPr>
                <w:rFonts w:ascii="Calibri" w:hAnsi="Calibri" w:cs="Calibri"/>
              </w:rPr>
            </w:pPr>
            <w:r>
              <w:rPr>
                <w:rFonts w:ascii="Calibri" w:hAnsi="Calibri" w:cs="Calibri"/>
              </w:rPr>
              <w:t xml:space="preserve">Types and Maximum Assistance </w:t>
            </w:r>
          </w:p>
          <w:p w14:paraId="74B8E1FB" w14:textId="77777777" w:rsidR="00C85BA2" w:rsidRDefault="00C85BA2" w:rsidP="00E14863">
            <w:pPr>
              <w:pStyle w:val="ListParagraph"/>
              <w:numPr>
                <w:ilvl w:val="0"/>
                <w:numId w:val="25"/>
              </w:numPr>
              <w:rPr>
                <w:rFonts w:ascii="Calibri" w:hAnsi="Calibri" w:cs="Calibri"/>
              </w:rPr>
            </w:pPr>
            <w:r>
              <w:rPr>
                <w:rFonts w:ascii="Calibri" w:hAnsi="Calibri" w:cs="Calibri"/>
              </w:rPr>
              <w:t xml:space="preserve">Subrecipient Award </w:t>
            </w:r>
          </w:p>
          <w:p w14:paraId="0516A0BD" w14:textId="7EA8D30B" w:rsidR="00C85BA2" w:rsidRDefault="00990699" w:rsidP="00E14863">
            <w:pPr>
              <w:pStyle w:val="ListParagraph"/>
              <w:numPr>
                <w:ilvl w:val="0"/>
                <w:numId w:val="25"/>
              </w:numPr>
              <w:rPr>
                <w:rFonts w:ascii="Calibri" w:hAnsi="Calibri" w:cs="Calibri"/>
              </w:rPr>
            </w:pPr>
            <w:r>
              <w:rPr>
                <w:rFonts w:ascii="Calibri" w:hAnsi="Calibri" w:cs="Calibri"/>
              </w:rPr>
              <w:t xml:space="preserve">Application Underwriting </w:t>
            </w:r>
            <w:r w:rsidR="00C85BA2">
              <w:rPr>
                <w:rFonts w:ascii="Calibri" w:hAnsi="Calibri" w:cs="Calibri"/>
              </w:rPr>
              <w:t xml:space="preserve"> </w:t>
            </w:r>
          </w:p>
          <w:p w14:paraId="21A23467" w14:textId="2DB54422" w:rsidR="00C85BA2" w:rsidRDefault="00C85BA2" w:rsidP="00E14863">
            <w:pPr>
              <w:pStyle w:val="ListParagraph"/>
              <w:numPr>
                <w:ilvl w:val="0"/>
                <w:numId w:val="25"/>
              </w:numPr>
              <w:rPr>
                <w:rFonts w:ascii="Calibri" w:hAnsi="Calibri" w:cs="Calibri"/>
              </w:rPr>
            </w:pPr>
            <w:r>
              <w:rPr>
                <w:rFonts w:ascii="Calibri" w:hAnsi="Calibri" w:cs="Calibri"/>
              </w:rPr>
              <w:t xml:space="preserve">Community Engagement/ Outreach </w:t>
            </w:r>
            <w:r w:rsidR="00F136E3">
              <w:rPr>
                <w:rFonts w:ascii="Calibri" w:hAnsi="Calibri" w:cs="Calibri"/>
              </w:rPr>
              <w:t>P</w:t>
            </w:r>
            <w:r w:rsidR="00012A1A">
              <w:rPr>
                <w:rFonts w:ascii="Calibri" w:hAnsi="Calibri" w:cs="Calibri"/>
              </w:rPr>
              <w:t>lan (</w:t>
            </w:r>
            <w:r>
              <w:rPr>
                <w:rFonts w:ascii="Calibri" w:hAnsi="Calibri" w:cs="Calibri"/>
              </w:rPr>
              <w:t>verbiage from Multi</w:t>
            </w:r>
            <w:r w:rsidR="00E12EE2">
              <w:rPr>
                <w:rFonts w:ascii="Calibri" w:hAnsi="Calibri" w:cs="Calibri"/>
              </w:rPr>
              <w:t>f</w:t>
            </w:r>
            <w:r>
              <w:rPr>
                <w:rFonts w:ascii="Calibri" w:hAnsi="Calibri" w:cs="Calibri"/>
              </w:rPr>
              <w:t xml:space="preserve">amily Guidelines (MFG) modified. </w:t>
            </w:r>
          </w:p>
          <w:p w14:paraId="08883B34" w14:textId="1E039F00" w:rsidR="00C85BA2" w:rsidRPr="00190DBD" w:rsidRDefault="00C85BA2" w:rsidP="00E14863">
            <w:pPr>
              <w:pStyle w:val="ListParagraph"/>
              <w:numPr>
                <w:ilvl w:val="0"/>
                <w:numId w:val="25"/>
              </w:numPr>
              <w:rPr>
                <w:rFonts w:ascii="Calibri" w:hAnsi="Calibri" w:cs="Calibri"/>
                <w:strike/>
              </w:rPr>
            </w:pPr>
            <w:r w:rsidRPr="00190DBD">
              <w:rPr>
                <w:rFonts w:ascii="Calibri" w:hAnsi="Calibri" w:cs="Calibri"/>
                <w:strike/>
              </w:rPr>
              <w:t xml:space="preserve">Needs Assessment </w:t>
            </w:r>
            <w:r w:rsidR="00F136E3" w:rsidRPr="00190DBD">
              <w:rPr>
                <w:rFonts w:ascii="Calibri" w:hAnsi="Calibri" w:cs="Calibri"/>
                <w:strike/>
              </w:rPr>
              <w:t>V</w:t>
            </w:r>
            <w:r w:rsidRPr="00190DBD">
              <w:rPr>
                <w:rFonts w:ascii="Calibri" w:hAnsi="Calibri" w:cs="Calibri"/>
                <w:strike/>
              </w:rPr>
              <w:t xml:space="preserve">erbiage </w:t>
            </w:r>
          </w:p>
          <w:p w14:paraId="0EB11ABB" w14:textId="77777777" w:rsidR="00012A1A" w:rsidRDefault="00012A1A" w:rsidP="00E14863">
            <w:pPr>
              <w:pStyle w:val="ListParagraph"/>
              <w:numPr>
                <w:ilvl w:val="0"/>
                <w:numId w:val="25"/>
              </w:numPr>
              <w:rPr>
                <w:rFonts w:ascii="Calibri" w:hAnsi="Calibri" w:cs="Calibri"/>
              </w:rPr>
            </w:pPr>
            <w:r>
              <w:rPr>
                <w:rFonts w:ascii="Calibri" w:hAnsi="Calibri" w:cs="Calibri"/>
              </w:rPr>
              <w:t>The City of Houston (parties involved)</w:t>
            </w:r>
          </w:p>
          <w:p w14:paraId="3DF7C388" w14:textId="77777777" w:rsidR="00012A1A" w:rsidRDefault="00012A1A" w:rsidP="00E14863">
            <w:pPr>
              <w:pStyle w:val="ListParagraph"/>
              <w:numPr>
                <w:ilvl w:val="0"/>
                <w:numId w:val="25"/>
              </w:numPr>
              <w:rPr>
                <w:rFonts w:ascii="Calibri" w:hAnsi="Calibri" w:cs="Calibri"/>
              </w:rPr>
            </w:pPr>
            <w:r>
              <w:rPr>
                <w:rFonts w:ascii="Calibri" w:hAnsi="Calibri" w:cs="Calibri"/>
              </w:rPr>
              <w:t xml:space="preserve">Environmental language from “MFG” modified. </w:t>
            </w:r>
          </w:p>
          <w:p w14:paraId="73B2AF5B" w14:textId="77777777" w:rsidR="00C85BA2" w:rsidRDefault="00012A1A" w:rsidP="00E14863">
            <w:pPr>
              <w:pStyle w:val="ListParagraph"/>
              <w:numPr>
                <w:ilvl w:val="0"/>
                <w:numId w:val="25"/>
              </w:numPr>
              <w:rPr>
                <w:rFonts w:ascii="Calibri" w:hAnsi="Calibri" w:cs="Calibri"/>
              </w:rPr>
            </w:pPr>
            <w:r>
              <w:rPr>
                <w:rFonts w:ascii="Calibri" w:hAnsi="Calibri" w:cs="Calibri"/>
              </w:rPr>
              <w:t xml:space="preserve"> Cross Cutting Federal Regulations language implemented. Some language was not incorporate as I do not believe it was applicable to this project. </w:t>
            </w:r>
          </w:p>
          <w:p w14:paraId="3818A9CA" w14:textId="39940877" w:rsidR="00012A1A" w:rsidRPr="00C85BA2" w:rsidRDefault="00012A1A" w:rsidP="00E14863">
            <w:pPr>
              <w:pStyle w:val="ListParagraph"/>
              <w:numPr>
                <w:ilvl w:val="0"/>
                <w:numId w:val="25"/>
              </w:numPr>
              <w:rPr>
                <w:rFonts w:ascii="Calibri" w:hAnsi="Calibri" w:cs="Calibri"/>
              </w:rPr>
            </w:pPr>
            <w:r>
              <w:rPr>
                <w:rFonts w:ascii="Calibri" w:hAnsi="Calibri" w:cs="Calibri"/>
              </w:rPr>
              <w:t xml:space="preserve">Program Close-out language from MFG. </w:t>
            </w:r>
          </w:p>
        </w:tc>
        <w:tc>
          <w:tcPr>
            <w:tcW w:w="868" w:type="dxa"/>
          </w:tcPr>
          <w:p w14:paraId="253677DC" w14:textId="77777777" w:rsidR="004D4A6B" w:rsidRDefault="004D4A6B" w:rsidP="00A94AAB">
            <w:pPr>
              <w:jc w:val="center"/>
              <w:rPr>
                <w:rFonts w:ascii="Calibri" w:hAnsi="Calibri" w:cs="Calibri"/>
              </w:rPr>
            </w:pPr>
          </w:p>
        </w:tc>
      </w:tr>
      <w:tr w:rsidR="004D4A6B" w14:paraId="5117D237" w14:textId="77777777" w:rsidTr="00214BD2">
        <w:tc>
          <w:tcPr>
            <w:tcW w:w="1065" w:type="dxa"/>
          </w:tcPr>
          <w:p w14:paraId="7D6532AA" w14:textId="6E29E9D6" w:rsidR="007E734E" w:rsidRDefault="007E734E">
            <w:pPr>
              <w:jc w:val="center"/>
              <w:rPr>
                <w:rFonts w:ascii="Calibri" w:hAnsi="Calibri" w:cs="Calibri"/>
              </w:rPr>
            </w:pPr>
            <w:r>
              <w:rPr>
                <w:rFonts w:ascii="Calibri" w:hAnsi="Calibri" w:cs="Calibri"/>
              </w:rPr>
              <w:t>3.1</w:t>
            </w:r>
          </w:p>
        </w:tc>
        <w:tc>
          <w:tcPr>
            <w:tcW w:w="1831" w:type="dxa"/>
          </w:tcPr>
          <w:p w14:paraId="2E55A742" w14:textId="404CF824" w:rsidR="004D4A6B" w:rsidRDefault="007E734E" w:rsidP="00A94AAB">
            <w:pPr>
              <w:jc w:val="center"/>
              <w:rPr>
                <w:rFonts w:ascii="Calibri" w:hAnsi="Calibri" w:cs="Calibri"/>
              </w:rPr>
            </w:pPr>
            <w:r>
              <w:rPr>
                <w:rFonts w:ascii="Calibri" w:hAnsi="Calibri" w:cs="Calibri"/>
              </w:rPr>
              <w:t>April 18, 2019</w:t>
            </w:r>
          </w:p>
        </w:tc>
        <w:tc>
          <w:tcPr>
            <w:tcW w:w="6761" w:type="dxa"/>
          </w:tcPr>
          <w:p w14:paraId="26FE606D" w14:textId="2E922637" w:rsidR="004D4A6B" w:rsidRDefault="007E734E" w:rsidP="00A94AAB">
            <w:pPr>
              <w:jc w:val="center"/>
              <w:rPr>
                <w:rFonts w:ascii="Calibri" w:hAnsi="Calibri" w:cs="Calibri"/>
              </w:rPr>
            </w:pPr>
            <w:r>
              <w:rPr>
                <w:rFonts w:ascii="Calibri" w:hAnsi="Calibri" w:cs="Calibri"/>
              </w:rPr>
              <w:t xml:space="preserve">Reviewed by Grants Admin section of Planning &amp; Grants Management, </w:t>
            </w:r>
            <w:r w:rsidR="00CA5D16">
              <w:rPr>
                <w:rFonts w:ascii="Calibri" w:hAnsi="Calibri" w:cs="Calibri"/>
              </w:rPr>
              <w:t>notes</w:t>
            </w:r>
            <w:r>
              <w:rPr>
                <w:rFonts w:ascii="Calibri" w:hAnsi="Calibri" w:cs="Calibri"/>
              </w:rPr>
              <w:t xml:space="preserve"> included</w:t>
            </w:r>
          </w:p>
        </w:tc>
        <w:tc>
          <w:tcPr>
            <w:tcW w:w="868" w:type="dxa"/>
          </w:tcPr>
          <w:p w14:paraId="07C5FA16" w14:textId="77777777" w:rsidR="004D4A6B" w:rsidRDefault="004D4A6B" w:rsidP="00A94AAB">
            <w:pPr>
              <w:jc w:val="center"/>
              <w:rPr>
                <w:rFonts w:ascii="Calibri" w:hAnsi="Calibri" w:cs="Calibri"/>
              </w:rPr>
            </w:pPr>
          </w:p>
        </w:tc>
      </w:tr>
      <w:tr w:rsidR="00C57CE1" w14:paraId="159BF2AF" w14:textId="77777777" w:rsidTr="00214BD2">
        <w:tc>
          <w:tcPr>
            <w:tcW w:w="1065" w:type="dxa"/>
          </w:tcPr>
          <w:p w14:paraId="21BC9786" w14:textId="1AB9E3A4" w:rsidR="00C57CE1" w:rsidRDefault="00C57CE1">
            <w:pPr>
              <w:jc w:val="center"/>
              <w:rPr>
                <w:rFonts w:ascii="Calibri" w:hAnsi="Calibri" w:cs="Calibri"/>
              </w:rPr>
            </w:pPr>
            <w:r>
              <w:rPr>
                <w:rFonts w:ascii="Calibri" w:hAnsi="Calibri" w:cs="Calibri"/>
              </w:rPr>
              <w:t>4</w:t>
            </w:r>
          </w:p>
        </w:tc>
        <w:tc>
          <w:tcPr>
            <w:tcW w:w="1831" w:type="dxa"/>
          </w:tcPr>
          <w:p w14:paraId="5B0DA5DA" w14:textId="727F424E" w:rsidR="00C57CE1" w:rsidRDefault="005D176B" w:rsidP="00A94AAB">
            <w:pPr>
              <w:jc w:val="center"/>
              <w:rPr>
                <w:rFonts w:ascii="Calibri" w:hAnsi="Calibri" w:cs="Calibri"/>
              </w:rPr>
            </w:pPr>
            <w:r>
              <w:rPr>
                <w:rFonts w:ascii="Calibri" w:hAnsi="Calibri" w:cs="Calibri"/>
              </w:rPr>
              <w:t xml:space="preserve">May 16, 2019 </w:t>
            </w:r>
          </w:p>
        </w:tc>
        <w:tc>
          <w:tcPr>
            <w:tcW w:w="6761" w:type="dxa"/>
          </w:tcPr>
          <w:p w14:paraId="35A0828C" w14:textId="4A67C19F" w:rsidR="00C57CE1" w:rsidRDefault="005D176B" w:rsidP="00A94AAB">
            <w:pPr>
              <w:jc w:val="center"/>
              <w:rPr>
                <w:rFonts w:ascii="Calibri" w:hAnsi="Calibri" w:cs="Calibri"/>
              </w:rPr>
            </w:pPr>
            <w:r>
              <w:rPr>
                <w:rFonts w:ascii="Calibri" w:hAnsi="Calibri" w:cs="Calibri"/>
              </w:rPr>
              <w:t>Reviewed by GLO (</w:t>
            </w:r>
            <w:r w:rsidRPr="00C56F6D">
              <w:rPr>
                <w:rFonts w:ascii="Calibri" w:hAnsi="Calibri" w:cs="Calibri"/>
                <w:i/>
              </w:rPr>
              <w:t>see Guidelines- Checklist</w:t>
            </w:r>
            <w:r>
              <w:rPr>
                <w:rFonts w:ascii="Calibri" w:hAnsi="Calibri" w:cs="Calibri"/>
              </w:rPr>
              <w:t xml:space="preserve">) </w:t>
            </w:r>
          </w:p>
        </w:tc>
        <w:tc>
          <w:tcPr>
            <w:tcW w:w="868" w:type="dxa"/>
          </w:tcPr>
          <w:p w14:paraId="69BD1357" w14:textId="77777777" w:rsidR="00C57CE1" w:rsidRDefault="00C57CE1" w:rsidP="00A94AAB">
            <w:pPr>
              <w:jc w:val="center"/>
              <w:rPr>
                <w:rFonts w:ascii="Calibri" w:hAnsi="Calibri" w:cs="Calibri"/>
              </w:rPr>
            </w:pPr>
          </w:p>
        </w:tc>
      </w:tr>
      <w:tr w:rsidR="00214BD2" w14:paraId="111F3E7B" w14:textId="77777777" w:rsidTr="00214BD2">
        <w:tc>
          <w:tcPr>
            <w:tcW w:w="1065" w:type="dxa"/>
          </w:tcPr>
          <w:p w14:paraId="187C2BFE" w14:textId="4346BE61" w:rsidR="00214BD2" w:rsidRDefault="00214BD2" w:rsidP="00214BD2">
            <w:pPr>
              <w:jc w:val="center"/>
              <w:rPr>
                <w:rFonts w:ascii="Calibri" w:hAnsi="Calibri" w:cs="Calibri"/>
              </w:rPr>
            </w:pPr>
            <w:r>
              <w:rPr>
                <w:rFonts w:ascii="Calibri" w:hAnsi="Calibri" w:cs="Calibri"/>
              </w:rPr>
              <w:t>4.1</w:t>
            </w:r>
          </w:p>
        </w:tc>
        <w:tc>
          <w:tcPr>
            <w:tcW w:w="1831" w:type="dxa"/>
          </w:tcPr>
          <w:p w14:paraId="6EB07661" w14:textId="0C025D78" w:rsidR="00214BD2" w:rsidRDefault="00214BD2" w:rsidP="00214BD2">
            <w:pPr>
              <w:jc w:val="center"/>
              <w:rPr>
                <w:rFonts w:ascii="Calibri" w:hAnsi="Calibri" w:cs="Calibri"/>
              </w:rPr>
            </w:pPr>
            <w:r>
              <w:rPr>
                <w:rFonts w:ascii="Calibri" w:hAnsi="Calibri" w:cs="Calibri"/>
              </w:rPr>
              <w:t xml:space="preserve">June 6, 2019 </w:t>
            </w:r>
          </w:p>
        </w:tc>
        <w:tc>
          <w:tcPr>
            <w:tcW w:w="6761" w:type="dxa"/>
          </w:tcPr>
          <w:p w14:paraId="51C869FB" w14:textId="77777777" w:rsidR="00214BD2" w:rsidRDefault="00214BD2" w:rsidP="00214BD2">
            <w:pPr>
              <w:jc w:val="center"/>
              <w:rPr>
                <w:rFonts w:ascii="Calibri" w:hAnsi="Calibri" w:cs="Calibri"/>
              </w:rPr>
            </w:pPr>
            <w:r>
              <w:rPr>
                <w:rFonts w:ascii="Calibri" w:hAnsi="Calibri" w:cs="Calibri"/>
              </w:rPr>
              <w:t xml:space="preserve">Meeting with Grants Admin section of Planning &amp; Grants Management to discuss – GLO’s comments </w:t>
            </w:r>
          </w:p>
          <w:p w14:paraId="02BA4F8B" w14:textId="1096B487" w:rsidR="00214BD2" w:rsidRDefault="00214BD2" w:rsidP="00214BD2">
            <w:pPr>
              <w:jc w:val="center"/>
              <w:rPr>
                <w:rFonts w:ascii="Calibri" w:hAnsi="Calibri" w:cs="Calibri"/>
              </w:rPr>
            </w:pPr>
            <w:r>
              <w:rPr>
                <w:rFonts w:ascii="Calibri" w:hAnsi="Calibri" w:cs="Calibri"/>
              </w:rPr>
              <w:t>Follow-up information is required from admin areas.</w:t>
            </w:r>
          </w:p>
        </w:tc>
        <w:tc>
          <w:tcPr>
            <w:tcW w:w="868" w:type="dxa"/>
          </w:tcPr>
          <w:p w14:paraId="408A34FA" w14:textId="77777777" w:rsidR="00214BD2" w:rsidRDefault="00214BD2" w:rsidP="00214BD2">
            <w:pPr>
              <w:jc w:val="center"/>
              <w:rPr>
                <w:rFonts w:ascii="Calibri" w:hAnsi="Calibri" w:cs="Calibri"/>
              </w:rPr>
            </w:pPr>
          </w:p>
        </w:tc>
      </w:tr>
      <w:tr w:rsidR="00CF4F14" w14:paraId="0319348F" w14:textId="77777777" w:rsidTr="00214BD2">
        <w:tc>
          <w:tcPr>
            <w:tcW w:w="1065" w:type="dxa"/>
          </w:tcPr>
          <w:p w14:paraId="4D277F47" w14:textId="3C9C8F70" w:rsidR="00CF4F14" w:rsidRDefault="00CF4F14" w:rsidP="00214BD2">
            <w:pPr>
              <w:jc w:val="center"/>
              <w:rPr>
                <w:rFonts w:ascii="Calibri" w:hAnsi="Calibri" w:cs="Calibri"/>
              </w:rPr>
            </w:pPr>
            <w:r>
              <w:rPr>
                <w:rFonts w:ascii="Calibri" w:hAnsi="Calibri" w:cs="Calibri"/>
              </w:rPr>
              <w:t>4.2</w:t>
            </w:r>
          </w:p>
        </w:tc>
        <w:tc>
          <w:tcPr>
            <w:tcW w:w="1831" w:type="dxa"/>
          </w:tcPr>
          <w:p w14:paraId="7F4AAE91" w14:textId="2FE8B9EC" w:rsidR="00CF4F14" w:rsidRDefault="00CF4F14" w:rsidP="00214BD2">
            <w:pPr>
              <w:jc w:val="center"/>
              <w:rPr>
                <w:rFonts w:ascii="Calibri" w:hAnsi="Calibri" w:cs="Calibri"/>
              </w:rPr>
            </w:pPr>
            <w:r>
              <w:rPr>
                <w:rFonts w:ascii="Calibri" w:hAnsi="Calibri" w:cs="Calibri"/>
              </w:rPr>
              <w:t xml:space="preserve">June 18, 2019 </w:t>
            </w:r>
          </w:p>
        </w:tc>
        <w:tc>
          <w:tcPr>
            <w:tcW w:w="6761" w:type="dxa"/>
          </w:tcPr>
          <w:p w14:paraId="0738ECA6" w14:textId="52AAFEA2" w:rsidR="009E75FC" w:rsidRPr="00DC5162" w:rsidRDefault="009E75FC" w:rsidP="00DC5162">
            <w:pPr>
              <w:pStyle w:val="ListParagraph"/>
              <w:numPr>
                <w:ilvl w:val="0"/>
                <w:numId w:val="41"/>
              </w:numPr>
              <w:rPr>
                <w:rFonts w:ascii="Calibri" w:hAnsi="Calibri" w:cs="Calibri"/>
              </w:rPr>
            </w:pPr>
            <w:r w:rsidRPr="00DC5162">
              <w:rPr>
                <w:rFonts w:ascii="Calibri" w:hAnsi="Calibri" w:cs="Calibri"/>
              </w:rPr>
              <w:t xml:space="preserve">Changes were made under “Roles and Responsibilities”: </w:t>
            </w:r>
          </w:p>
          <w:p w14:paraId="751FD723" w14:textId="603DC88A" w:rsidR="00CF4F14" w:rsidRDefault="00CF4F14" w:rsidP="00DC5162">
            <w:pPr>
              <w:pStyle w:val="ListParagraph"/>
              <w:numPr>
                <w:ilvl w:val="0"/>
                <w:numId w:val="40"/>
              </w:numPr>
              <w:rPr>
                <w:rFonts w:ascii="Calibri" w:hAnsi="Calibri" w:cs="Calibri"/>
              </w:rPr>
            </w:pPr>
            <w:r w:rsidRPr="009E75FC">
              <w:rPr>
                <w:rFonts w:ascii="Calibri" w:hAnsi="Calibri" w:cs="Calibri"/>
              </w:rPr>
              <w:t xml:space="preserve">“The HCDD Public Facilities Division </w:t>
            </w:r>
            <w:r w:rsidRPr="009E75FC">
              <w:rPr>
                <w:rFonts w:ascii="Calibri" w:hAnsi="Calibri" w:cs="Calibri"/>
                <w:color w:val="FF0000"/>
              </w:rPr>
              <w:t xml:space="preserve">in collaboration with HPW </w:t>
            </w:r>
            <w:r w:rsidRPr="009E75FC">
              <w:rPr>
                <w:rFonts w:ascii="Calibri" w:hAnsi="Calibri" w:cs="Calibri"/>
              </w:rPr>
              <w:t>will be responsible for eligibility determination, inspection and environmental protocols, contract and contractor assignment, construction, and completion.”</w:t>
            </w:r>
          </w:p>
          <w:p w14:paraId="3D4346E6" w14:textId="77777777" w:rsidR="00DC5162" w:rsidRPr="009E75FC" w:rsidRDefault="00DC5162" w:rsidP="00DC5162">
            <w:pPr>
              <w:pStyle w:val="ListParagraph"/>
              <w:rPr>
                <w:rFonts w:ascii="Calibri" w:hAnsi="Calibri" w:cs="Calibri"/>
              </w:rPr>
            </w:pPr>
          </w:p>
          <w:p w14:paraId="1286A8E2" w14:textId="0816FBFF" w:rsidR="008E7AD4" w:rsidRDefault="008E7AD4" w:rsidP="008E7AD4">
            <w:pPr>
              <w:pStyle w:val="ListParagraph"/>
              <w:numPr>
                <w:ilvl w:val="0"/>
                <w:numId w:val="41"/>
              </w:numPr>
              <w:rPr>
                <w:rFonts w:ascii="Calibri" w:hAnsi="Calibri" w:cs="Calibri"/>
              </w:rPr>
            </w:pPr>
            <w:r>
              <w:rPr>
                <w:rFonts w:ascii="Calibri" w:hAnsi="Calibri" w:cs="Calibri"/>
              </w:rPr>
              <w:t>Section deleted: “</w:t>
            </w:r>
            <w:r w:rsidRPr="00DC5162">
              <w:rPr>
                <w:rFonts w:ascii="Calibri" w:hAnsi="Calibri" w:cs="Calibri"/>
              </w:rPr>
              <w:t>MVB Program Priorities</w:t>
            </w:r>
            <w:r>
              <w:rPr>
                <w:rFonts w:ascii="Calibri" w:hAnsi="Calibri" w:cs="Calibri"/>
              </w:rPr>
              <w:t>”</w:t>
            </w:r>
            <w:r w:rsidRPr="00DC5162">
              <w:rPr>
                <w:rFonts w:ascii="Calibri" w:hAnsi="Calibri" w:cs="Calibri"/>
              </w:rPr>
              <w:t xml:space="preserve"> </w:t>
            </w:r>
          </w:p>
          <w:p w14:paraId="5058AFEA" w14:textId="77777777" w:rsidR="008E7AD4" w:rsidRPr="008E7AD4" w:rsidRDefault="008E7AD4" w:rsidP="008E7AD4">
            <w:pPr>
              <w:pStyle w:val="ListParagraph"/>
              <w:rPr>
                <w:rFonts w:ascii="Calibri" w:hAnsi="Calibri" w:cs="Calibri"/>
              </w:rPr>
            </w:pPr>
          </w:p>
          <w:p w14:paraId="548540A0" w14:textId="282AF1B0" w:rsidR="009E75FC" w:rsidRPr="00DC5162" w:rsidRDefault="009E75FC" w:rsidP="00DC5162">
            <w:pPr>
              <w:pStyle w:val="ListParagraph"/>
              <w:numPr>
                <w:ilvl w:val="0"/>
                <w:numId w:val="41"/>
              </w:numPr>
              <w:rPr>
                <w:rFonts w:ascii="Calibri" w:hAnsi="Calibri" w:cs="Calibri"/>
              </w:rPr>
            </w:pPr>
            <w:r w:rsidRPr="00DC5162">
              <w:rPr>
                <w:rFonts w:ascii="Calibri" w:hAnsi="Calibri" w:cs="Calibri"/>
              </w:rPr>
              <w:t xml:space="preserve">Language change/added under “MVB Program Eligibility”: </w:t>
            </w:r>
          </w:p>
          <w:p w14:paraId="4AF2E6D0" w14:textId="1EE0EE5D" w:rsidR="009E75FC" w:rsidRPr="009E75FC" w:rsidRDefault="009E75FC" w:rsidP="00DC5162">
            <w:pPr>
              <w:pStyle w:val="ListParagraph"/>
              <w:widowControl w:val="0"/>
              <w:numPr>
                <w:ilvl w:val="0"/>
                <w:numId w:val="40"/>
              </w:numPr>
              <w:tabs>
                <w:tab w:val="left" w:pos="1200"/>
              </w:tabs>
              <w:autoSpaceDE w:val="0"/>
              <w:autoSpaceDN w:val="0"/>
              <w:spacing w:after="0"/>
              <w:rPr>
                <w:rFonts w:ascii="Calibri" w:hAnsi="Calibri" w:cs="Calibri"/>
              </w:rPr>
            </w:pPr>
            <w:r w:rsidRPr="009E75FC">
              <w:rPr>
                <w:rFonts w:ascii="Calibri" w:hAnsi="Calibri" w:cs="Calibri"/>
              </w:rPr>
              <w:t xml:space="preserve">Activities for the MVB Program will be performed directly by </w:t>
            </w:r>
            <w:r w:rsidRPr="009E75FC">
              <w:rPr>
                <w:rFonts w:ascii="Calibri" w:hAnsi="Calibri" w:cs="Calibri"/>
                <w:color w:val="FF0000"/>
              </w:rPr>
              <w:t>HCDD</w:t>
            </w:r>
            <w:r w:rsidRPr="009E75FC">
              <w:rPr>
                <w:rFonts w:ascii="Calibri" w:hAnsi="Calibri" w:cs="Calibri"/>
              </w:rPr>
              <w:t>.  Anyone contracted by HCDD will be required to comply</w:t>
            </w:r>
            <w:r w:rsidR="008E7AD4">
              <w:rPr>
                <w:rFonts w:ascii="Calibri" w:hAnsi="Calibri" w:cs="Calibri"/>
              </w:rPr>
              <w:t xml:space="preserve"> </w:t>
            </w:r>
            <w:r w:rsidR="008E7AD4">
              <w:rPr>
                <w:rFonts w:ascii="Calibri" w:hAnsi="Calibri" w:cs="Calibri"/>
              </w:rPr>
              <w:lastRenderedPageBreak/>
              <w:t>with the following</w:t>
            </w:r>
            <w:r w:rsidRPr="009E75FC">
              <w:rPr>
                <w:rFonts w:ascii="Calibri" w:hAnsi="Calibri" w:cs="Calibri"/>
              </w:rPr>
              <w:t xml:space="preserve"> </w:t>
            </w:r>
          </w:p>
          <w:p w14:paraId="28E75CA1" w14:textId="28CD4F63" w:rsidR="00DC5162" w:rsidRDefault="009E75FC" w:rsidP="008E7AD4">
            <w:pPr>
              <w:pStyle w:val="ListParagraph"/>
              <w:numPr>
                <w:ilvl w:val="0"/>
                <w:numId w:val="40"/>
              </w:numPr>
              <w:rPr>
                <w:rFonts w:ascii="Calibri" w:hAnsi="Calibri" w:cs="Calibri"/>
              </w:rPr>
            </w:pPr>
            <w:r w:rsidRPr="009E75FC">
              <w:rPr>
                <w:rFonts w:ascii="Calibri" w:hAnsi="Calibri" w:cs="Calibri"/>
              </w:rPr>
              <w:t xml:space="preserve">“The MVB Program will be operated by HCDD and utilize post- disaster Fair Market Value (“FMV”) thus, HCDD will not have any beneficiaries under this program.” </w:t>
            </w:r>
          </w:p>
          <w:p w14:paraId="676B5B3C" w14:textId="77777777" w:rsidR="008E7AD4" w:rsidRPr="008E7AD4" w:rsidRDefault="008E7AD4" w:rsidP="008E7AD4">
            <w:pPr>
              <w:pStyle w:val="ListParagraph"/>
              <w:rPr>
                <w:rFonts w:ascii="Calibri" w:hAnsi="Calibri" w:cs="Calibri"/>
              </w:rPr>
            </w:pPr>
          </w:p>
          <w:p w14:paraId="23ED5F61" w14:textId="77777777" w:rsidR="008E7AD4" w:rsidRDefault="008E7AD4" w:rsidP="008E7AD4">
            <w:pPr>
              <w:pStyle w:val="ListParagraph"/>
              <w:numPr>
                <w:ilvl w:val="0"/>
                <w:numId w:val="41"/>
              </w:numPr>
              <w:rPr>
                <w:rFonts w:ascii="Calibri" w:hAnsi="Calibri" w:cs="Calibri"/>
              </w:rPr>
            </w:pPr>
            <w:r>
              <w:rPr>
                <w:rFonts w:ascii="Calibri" w:hAnsi="Calibri" w:cs="Calibri"/>
              </w:rPr>
              <w:t xml:space="preserve">Section modified from “Notice of Funding Availability &amp; Administration to MVB Program Prioritization.” </w:t>
            </w:r>
          </w:p>
          <w:p w14:paraId="07A8C045" w14:textId="77777777" w:rsidR="008E7AD4" w:rsidRDefault="008E7AD4" w:rsidP="008E7AD4">
            <w:pPr>
              <w:pStyle w:val="ListParagraph"/>
              <w:numPr>
                <w:ilvl w:val="0"/>
                <w:numId w:val="47"/>
              </w:numPr>
              <w:rPr>
                <w:rFonts w:ascii="Calibri" w:hAnsi="Calibri" w:cs="Calibri"/>
              </w:rPr>
            </w:pPr>
            <w:r w:rsidRPr="008E7AD4">
              <w:rPr>
                <w:rFonts w:ascii="Calibri" w:hAnsi="Calibri" w:cs="Calibri"/>
              </w:rPr>
              <w:t xml:space="preserve">Properties located in a Floodway and/or Floodplain </w:t>
            </w:r>
          </w:p>
          <w:p w14:paraId="74B4DE59" w14:textId="77777777" w:rsidR="008E7AD4" w:rsidRDefault="008E7AD4" w:rsidP="008E7AD4">
            <w:pPr>
              <w:pStyle w:val="ListParagraph"/>
              <w:numPr>
                <w:ilvl w:val="0"/>
                <w:numId w:val="47"/>
              </w:numPr>
              <w:rPr>
                <w:rFonts w:ascii="Calibri" w:hAnsi="Calibri" w:cs="Calibri"/>
              </w:rPr>
            </w:pPr>
            <w:r w:rsidRPr="008E7AD4">
              <w:rPr>
                <w:rFonts w:ascii="Calibri" w:hAnsi="Calibri" w:cs="Calibri"/>
              </w:rPr>
              <w:t xml:space="preserve">Properties affected by the 2016 Flood Events </w:t>
            </w:r>
          </w:p>
          <w:p w14:paraId="53E25AF2" w14:textId="77777777" w:rsidR="008E7AD4" w:rsidRDefault="008E7AD4" w:rsidP="008E7AD4">
            <w:pPr>
              <w:pStyle w:val="ListParagraph"/>
              <w:numPr>
                <w:ilvl w:val="0"/>
                <w:numId w:val="47"/>
              </w:numPr>
              <w:rPr>
                <w:rFonts w:ascii="Calibri" w:hAnsi="Calibri" w:cs="Calibri"/>
              </w:rPr>
            </w:pPr>
            <w:r w:rsidRPr="008E7AD4">
              <w:rPr>
                <w:rFonts w:ascii="Calibri" w:hAnsi="Calibri" w:cs="Calibri"/>
              </w:rPr>
              <w:t>Properties with repetitive flood loss from the years 2015-2017</w:t>
            </w:r>
          </w:p>
          <w:p w14:paraId="1CE1AB6D" w14:textId="35ECAE2A" w:rsidR="008E7AD4" w:rsidRPr="008E7AD4" w:rsidRDefault="008E7AD4" w:rsidP="008E7AD4">
            <w:pPr>
              <w:pStyle w:val="ListParagraph"/>
              <w:numPr>
                <w:ilvl w:val="0"/>
                <w:numId w:val="47"/>
              </w:numPr>
              <w:rPr>
                <w:rFonts w:ascii="Calibri" w:hAnsi="Calibri" w:cs="Calibri"/>
              </w:rPr>
            </w:pPr>
            <w:r w:rsidRPr="008E7AD4">
              <w:rPr>
                <w:rFonts w:ascii="Calibri" w:hAnsi="Calibri" w:cs="Calibri"/>
              </w:rPr>
              <w:t xml:space="preserve">Properties located or adjacent to an ongoing HPW mitigation project, which supports the overall program to reduce the risk of future flooding.  </w:t>
            </w:r>
          </w:p>
          <w:p w14:paraId="51525EF3" w14:textId="77777777" w:rsidR="008E7AD4" w:rsidRPr="00DC5162" w:rsidRDefault="008E7AD4" w:rsidP="008E7AD4">
            <w:pPr>
              <w:pStyle w:val="ListParagraph"/>
              <w:rPr>
                <w:rFonts w:ascii="Calibri" w:hAnsi="Calibri" w:cs="Calibri"/>
              </w:rPr>
            </w:pPr>
          </w:p>
          <w:p w14:paraId="2DDCDBC9" w14:textId="77777777" w:rsidR="00DC5162" w:rsidRPr="00DC5162" w:rsidRDefault="00DC5162" w:rsidP="00DC5162">
            <w:pPr>
              <w:pStyle w:val="ListParagraph"/>
              <w:rPr>
                <w:rFonts w:cs="Calibri"/>
                <w:i/>
              </w:rPr>
            </w:pPr>
          </w:p>
          <w:p w14:paraId="07ACA8EB" w14:textId="77777777" w:rsidR="009E75FC" w:rsidRPr="009E75FC" w:rsidRDefault="009E75FC" w:rsidP="009E75FC">
            <w:pPr>
              <w:rPr>
                <w:rFonts w:cs="Calibri"/>
              </w:rPr>
            </w:pPr>
          </w:p>
          <w:p w14:paraId="6F17E077" w14:textId="0E873C45" w:rsidR="00CF4F14" w:rsidRPr="00C56F6D" w:rsidRDefault="00CF4F14" w:rsidP="00C56F6D">
            <w:pPr>
              <w:pStyle w:val="ListParagraph"/>
              <w:rPr>
                <w:rFonts w:ascii="Calibri" w:hAnsi="Calibri" w:cs="Calibri"/>
              </w:rPr>
            </w:pPr>
          </w:p>
        </w:tc>
        <w:tc>
          <w:tcPr>
            <w:tcW w:w="868" w:type="dxa"/>
          </w:tcPr>
          <w:p w14:paraId="773C7FEC" w14:textId="77777777" w:rsidR="009E75FC" w:rsidRDefault="00CF4F14" w:rsidP="009E75FC">
            <w:pPr>
              <w:jc w:val="center"/>
              <w:rPr>
                <w:rFonts w:ascii="Calibri" w:hAnsi="Calibri" w:cs="Calibri"/>
              </w:rPr>
            </w:pPr>
            <w:r>
              <w:rPr>
                <w:rFonts w:ascii="Calibri" w:hAnsi="Calibri" w:cs="Calibri"/>
              </w:rPr>
              <w:lastRenderedPageBreak/>
              <w:t>6</w:t>
            </w:r>
          </w:p>
          <w:p w14:paraId="2EF395A1" w14:textId="77777777" w:rsidR="009E75FC" w:rsidRDefault="009E75FC" w:rsidP="009E75FC">
            <w:pPr>
              <w:jc w:val="center"/>
              <w:rPr>
                <w:rFonts w:ascii="Calibri" w:hAnsi="Calibri" w:cs="Calibri"/>
              </w:rPr>
            </w:pPr>
          </w:p>
          <w:p w14:paraId="4E83FE1D" w14:textId="77777777" w:rsidR="009E75FC" w:rsidRDefault="009E75FC" w:rsidP="009E75FC">
            <w:pPr>
              <w:jc w:val="center"/>
              <w:rPr>
                <w:rFonts w:ascii="Calibri" w:hAnsi="Calibri" w:cs="Calibri"/>
              </w:rPr>
            </w:pPr>
          </w:p>
          <w:p w14:paraId="19C91736" w14:textId="77777777" w:rsidR="009E75FC" w:rsidRDefault="009E75FC" w:rsidP="009E75FC">
            <w:pPr>
              <w:jc w:val="center"/>
              <w:rPr>
                <w:rFonts w:ascii="Calibri" w:hAnsi="Calibri" w:cs="Calibri"/>
              </w:rPr>
            </w:pPr>
          </w:p>
          <w:p w14:paraId="672246EE" w14:textId="6806EE30" w:rsidR="009E75FC" w:rsidRDefault="008E7AD4" w:rsidP="009E75FC">
            <w:pPr>
              <w:jc w:val="center"/>
              <w:rPr>
                <w:rFonts w:ascii="Calibri" w:hAnsi="Calibri" w:cs="Calibri"/>
              </w:rPr>
            </w:pPr>
            <w:r>
              <w:rPr>
                <w:rFonts w:ascii="Calibri" w:hAnsi="Calibri" w:cs="Calibri"/>
              </w:rPr>
              <w:t>7</w:t>
            </w:r>
          </w:p>
          <w:p w14:paraId="75E4A31A" w14:textId="77777777" w:rsidR="009E75FC" w:rsidRDefault="009E75FC" w:rsidP="009E75FC">
            <w:pPr>
              <w:jc w:val="center"/>
              <w:rPr>
                <w:rFonts w:ascii="Calibri" w:hAnsi="Calibri" w:cs="Calibri"/>
              </w:rPr>
            </w:pPr>
          </w:p>
          <w:p w14:paraId="4DF8861F" w14:textId="24479403" w:rsidR="008E7AD4" w:rsidRDefault="008E7AD4" w:rsidP="008E7AD4">
            <w:pPr>
              <w:jc w:val="center"/>
              <w:rPr>
                <w:rFonts w:ascii="Calibri" w:hAnsi="Calibri" w:cs="Calibri"/>
              </w:rPr>
            </w:pPr>
            <w:r>
              <w:rPr>
                <w:rFonts w:ascii="Calibri" w:hAnsi="Calibri" w:cs="Calibri"/>
              </w:rPr>
              <w:t>7-</w:t>
            </w:r>
            <w:r w:rsidR="00DC5162">
              <w:rPr>
                <w:rFonts w:ascii="Calibri" w:hAnsi="Calibri" w:cs="Calibri"/>
              </w:rPr>
              <w:t>8</w:t>
            </w:r>
          </w:p>
          <w:p w14:paraId="6905F0A2" w14:textId="138196A8" w:rsidR="008E7AD4" w:rsidRDefault="008E7AD4" w:rsidP="008E7AD4">
            <w:pPr>
              <w:jc w:val="center"/>
              <w:rPr>
                <w:rFonts w:ascii="Calibri" w:hAnsi="Calibri" w:cs="Calibri"/>
              </w:rPr>
            </w:pPr>
          </w:p>
          <w:p w14:paraId="6D7D5776" w14:textId="74EA310A" w:rsidR="008E7AD4" w:rsidRDefault="008E7AD4" w:rsidP="008E7AD4">
            <w:pPr>
              <w:jc w:val="center"/>
              <w:rPr>
                <w:rFonts w:ascii="Calibri" w:hAnsi="Calibri" w:cs="Calibri"/>
              </w:rPr>
            </w:pPr>
          </w:p>
          <w:p w14:paraId="576849D6" w14:textId="55A75F7F" w:rsidR="008E7AD4" w:rsidRDefault="008E7AD4" w:rsidP="008E7AD4">
            <w:pPr>
              <w:jc w:val="center"/>
              <w:rPr>
                <w:rFonts w:ascii="Calibri" w:hAnsi="Calibri" w:cs="Calibri"/>
              </w:rPr>
            </w:pPr>
          </w:p>
          <w:p w14:paraId="11077D1B" w14:textId="1FC693A2" w:rsidR="008E7AD4" w:rsidRDefault="008E7AD4" w:rsidP="008E7AD4">
            <w:pPr>
              <w:jc w:val="center"/>
              <w:rPr>
                <w:rFonts w:ascii="Calibri" w:hAnsi="Calibri" w:cs="Calibri"/>
              </w:rPr>
            </w:pPr>
          </w:p>
          <w:p w14:paraId="201A66F3" w14:textId="2B04A825" w:rsidR="008E7AD4" w:rsidRDefault="008E7AD4" w:rsidP="008E7AD4">
            <w:pPr>
              <w:jc w:val="center"/>
              <w:rPr>
                <w:rFonts w:ascii="Calibri" w:hAnsi="Calibri" w:cs="Calibri"/>
              </w:rPr>
            </w:pPr>
          </w:p>
          <w:p w14:paraId="44DF5AEA" w14:textId="1908F13F" w:rsidR="00DC5162" w:rsidRDefault="008E7AD4" w:rsidP="008E7AD4">
            <w:pPr>
              <w:jc w:val="center"/>
              <w:rPr>
                <w:rFonts w:ascii="Calibri" w:hAnsi="Calibri" w:cs="Calibri"/>
              </w:rPr>
            </w:pPr>
            <w:r>
              <w:rPr>
                <w:rFonts w:ascii="Calibri" w:hAnsi="Calibri" w:cs="Calibri"/>
              </w:rPr>
              <w:t>9-10</w:t>
            </w:r>
          </w:p>
          <w:p w14:paraId="680FCF81" w14:textId="4D5B78DC" w:rsidR="008E7AD4" w:rsidRDefault="008E7AD4" w:rsidP="00DC5162">
            <w:pPr>
              <w:jc w:val="center"/>
              <w:rPr>
                <w:rFonts w:ascii="Calibri" w:hAnsi="Calibri" w:cs="Calibri"/>
              </w:rPr>
            </w:pPr>
          </w:p>
          <w:p w14:paraId="020B35BD" w14:textId="512064DF" w:rsidR="00DC5162" w:rsidRDefault="00DC5162" w:rsidP="008E7AD4">
            <w:pPr>
              <w:rPr>
                <w:rFonts w:ascii="Calibri" w:hAnsi="Calibri" w:cs="Calibri"/>
              </w:rPr>
            </w:pPr>
          </w:p>
        </w:tc>
      </w:tr>
      <w:tr w:rsidR="00190DBD" w14:paraId="4287CC8B" w14:textId="77777777" w:rsidTr="00214BD2">
        <w:tc>
          <w:tcPr>
            <w:tcW w:w="1065" w:type="dxa"/>
          </w:tcPr>
          <w:p w14:paraId="422B741C" w14:textId="6EBECE3B" w:rsidR="00190DBD" w:rsidRDefault="00190DBD" w:rsidP="00214BD2">
            <w:pPr>
              <w:jc w:val="center"/>
              <w:rPr>
                <w:rFonts w:ascii="Calibri" w:hAnsi="Calibri" w:cs="Calibri"/>
              </w:rPr>
            </w:pPr>
            <w:r>
              <w:rPr>
                <w:rFonts w:ascii="Calibri" w:hAnsi="Calibri" w:cs="Calibri"/>
              </w:rPr>
              <w:lastRenderedPageBreak/>
              <w:t>5</w:t>
            </w:r>
          </w:p>
        </w:tc>
        <w:tc>
          <w:tcPr>
            <w:tcW w:w="1831" w:type="dxa"/>
          </w:tcPr>
          <w:p w14:paraId="18122779" w14:textId="0061133D" w:rsidR="00190DBD" w:rsidRDefault="00190DBD" w:rsidP="00214BD2">
            <w:pPr>
              <w:jc w:val="center"/>
              <w:rPr>
                <w:rFonts w:ascii="Calibri" w:hAnsi="Calibri" w:cs="Calibri"/>
              </w:rPr>
            </w:pPr>
            <w:r>
              <w:rPr>
                <w:rFonts w:ascii="Calibri" w:hAnsi="Calibri" w:cs="Calibri"/>
              </w:rPr>
              <w:t>August 19, 2019</w:t>
            </w:r>
          </w:p>
        </w:tc>
        <w:tc>
          <w:tcPr>
            <w:tcW w:w="6761" w:type="dxa"/>
          </w:tcPr>
          <w:p w14:paraId="0B275971" w14:textId="77777777" w:rsidR="00190DBD" w:rsidRDefault="00190DBD" w:rsidP="00190DBD">
            <w:pPr>
              <w:pStyle w:val="ListParagraph"/>
              <w:rPr>
                <w:rFonts w:ascii="Calibri" w:hAnsi="Calibri" w:cs="Calibri"/>
              </w:rPr>
            </w:pPr>
            <w:r>
              <w:rPr>
                <w:rFonts w:ascii="Calibri" w:hAnsi="Calibri" w:cs="Calibri"/>
              </w:rPr>
              <w:t xml:space="preserve">Needs assessment language deleted as HCD did not conduct an assessment because the State did a most impacted counties MOD. </w:t>
            </w:r>
          </w:p>
          <w:p w14:paraId="0E827F20" w14:textId="77777777" w:rsidR="00016EE2" w:rsidRDefault="00016EE2" w:rsidP="00190DBD">
            <w:pPr>
              <w:pStyle w:val="ListParagraph"/>
              <w:rPr>
                <w:rFonts w:ascii="Calibri" w:hAnsi="Calibri" w:cs="Calibri"/>
              </w:rPr>
            </w:pPr>
          </w:p>
          <w:p w14:paraId="034C44A9" w14:textId="77777777" w:rsidR="00016EE2" w:rsidRDefault="007D488F" w:rsidP="00190DBD">
            <w:pPr>
              <w:pStyle w:val="ListParagraph"/>
              <w:rPr>
                <w:rFonts w:ascii="Calibri" w:hAnsi="Calibri" w:cs="Calibri"/>
                <w:i/>
              </w:rPr>
            </w:pPr>
            <w:r>
              <w:rPr>
                <w:rFonts w:ascii="Calibri" w:hAnsi="Calibri" w:cs="Calibri"/>
              </w:rPr>
              <w:t xml:space="preserve">Language added </w:t>
            </w:r>
            <w:r w:rsidRPr="00141DD3">
              <w:rPr>
                <w:rFonts w:ascii="Calibri" w:hAnsi="Calibri" w:cs="Calibri"/>
                <w:i/>
              </w:rPr>
              <w:t>“As of July 3, 2019, HUD approved the State of Texas’ Action Plan Amendment #4 (APA) for CDBG- DR funds appropriated under the Continuing Appropriations Acts 2017 Public Law (“P.L.”) 114-223, P.L. 114-254, and P.L. 115-31.”</w:t>
            </w:r>
          </w:p>
          <w:p w14:paraId="3BA7A954" w14:textId="77777777" w:rsidR="00E93B79" w:rsidRDefault="00E93B79" w:rsidP="00190DBD">
            <w:pPr>
              <w:pStyle w:val="ListParagraph"/>
              <w:rPr>
                <w:rFonts w:ascii="Calibri" w:hAnsi="Calibri" w:cs="Calibri"/>
                <w:i/>
              </w:rPr>
            </w:pPr>
          </w:p>
          <w:p w14:paraId="0B810382" w14:textId="1FF2AB70" w:rsidR="00E93B79" w:rsidRPr="00DC5162" w:rsidRDefault="00E93B79" w:rsidP="00190DBD">
            <w:pPr>
              <w:pStyle w:val="ListParagraph"/>
              <w:rPr>
                <w:rFonts w:ascii="Calibri" w:hAnsi="Calibri" w:cs="Calibri"/>
              </w:rPr>
            </w:pPr>
          </w:p>
        </w:tc>
        <w:tc>
          <w:tcPr>
            <w:tcW w:w="868" w:type="dxa"/>
          </w:tcPr>
          <w:p w14:paraId="450C55AE" w14:textId="77777777" w:rsidR="00190DBD" w:rsidRDefault="00190DBD" w:rsidP="009E75FC">
            <w:pPr>
              <w:jc w:val="center"/>
              <w:rPr>
                <w:rFonts w:ascii="Calibri" w:hAnsi="Calibri" w:cs="Calibri"/>
              </w:rPr>
            </w:pPr>
            <w:r>
              <w:rPr>
                <w:rFonts w:ascii="Calibri" w:hAnsi="Calibri" w:cs="Calibri"/>
              </w:rPr>
              <w:t>9</w:t>
            </w:r>
          </w:p>
          <w:p w14:paraId="7D51C910" w14:textId="77777777" w:rsidR="007D488F" w:rsidRDefault="007D488F" w:rsidP="009E75FC">
            <w:pPr>
              <w:jc w:val="center"/>
              <w:rPr>
                <w:rFonts w:ascii="Calibri" w:hAnsi="Calibri" w:cs="Calibri"/>
              </w:rPr>
            </w:pPr>
          </w:p>
          <w:p w14:paraId="740F6519" w14:textId="77777777" w:rsidR="007D488F" w:rsidRDefault="007D488F" w:rsidP="009E75FC">
            <w:pPr>
              <w:jc w:val="center"/>
              <w:rPr>
                <w:rFonts w:ascii="Calibri" w:hAnsi="Calibri" w:cs="Calibri"/>
              </w:rPr>
            </w:pPr>
          </w:p>
          <w:p w14:paraId="4262B28B" w14:textId="77777777" w:rsidR="007D488F" w:rsidRDefault="007D488F" w:rsidP="009E75FC">
            <w:pPr>
              <w:jc w:val="center"/>
              <w:rPr>
                <w:rFonts w:ascii="Calibri" w:hAnsi="Calibri" w:cs="Calibri"/>
              </w:rPr>
            </w:pPr>
          </w:p>
          <w:p w14:paraId="6F704EB1" w14:textId="5F685C28" w:rsidR="007D488F" w:rsidRDefault="007D488F" w:rsidP="009E75FC">
            <w:pPr>
              <w:jc w:val="center"/>
              <w:rPr>
                <w:rFonts w:ascii="Calibri" w:hAnsi="Calibri" w:cs="Calibri"/>
              </w:rPr>
            </w:pPr>
            <w:r>
              <w:rPr>
                <w:rFonts w:ascii="Calibri" w:hAnsi="Calibri" w:cs="Calibri"/>
              </w:rPr>
              <w:t>6</w:t>
            </w:r>
          </w:p>
        </w:tc>
      </w:tr>
      <w:tr w:rsidR="009B6940" w14:paraId="5E674A42" w14:textId="77777777" w:rsidTr="00214BD2">
        <w:tc>
          <w:tcPr>
            <w:tcW w:w="1065" w:type="dxa"/>
          </w:tcPr>
          <w:p w14:paraId="3D1A5278" w14:textId="1163CD7E" w:rsidR="009B6940" w:rsidRDefault="009B6940" w:rsidP="009B6940">
            <w:pPr>
              <w:jc w:val="center"/>
              <w:rPr>
                <w:rFonts w:ascii="Calibri" w:hAnsi="Calibri" w:cs="Calibri"/>
              </w:rPr>
            </w:pPr>
            <w:r>
              <w:rPr>
                <w:rFonts w:ascii="Calibri" w:hAnsi="Calibri" w:cs="Calibri"/>
              </w:rPr>
              <w:t>6</w:t>
            </w:r>
          </w:p>
        </w:tc>
        <w:tc>
          <w:tcPr>
            <w:tcW w:w="1831" w:type="dxa"/>
          </w:tcPr>
          <w:p w14:paraId="35DA971E" w14:textId="3CCF20C2" w:rsidR="009B6940" w:rsidRDefault="009B6940" w:rsidP="009B6940">
            <w:pPr>
              <w:jc w:val="center"/>
              <w:rPr>
                <w:rFonts w:ascii="Calibri" w:hAnsi="Calibri" w:cs="Calibri"/>
              </w:rPr>
            </w:pPr>
            <w:r>
              <w:rPr>
                <w:rFonts w:ascii="Calibri" w:hAnsi="Calibri" w:cs="Calibri"/>
              </w:rPr>
              <w:t>January 10, 2020</w:t>
            </w:r>
          </w:p>
        </w:tc>
        <w:tc>
          <w:tcPr>
            <w:tcW w:w="6761" w:type="dxa"/>
          </w:tcPr>
          <w:p w14:paraId="71287EFA" w14:textId="77777777" w:rsidR="009B6940" w:rsidRDefault="009B6940" w:rsidP="009B6940">
            <w:pPr>
              <w:pStyle w:val="ListParagraph"/>
              <w:rPr>
                <w:rFonts w:ascii="Calibri" w:hAnsi="Calibri" w:cs="Calibri"/>
              </w:rPr>
            </w:pPr>
            <w:r>
              <w:rPr>
                <w:rFonts w:ascii="Calibri" w:hAnsi="Calibri" w:cs="Calibri"/>
              </w:rPr>
              <w:t xml:space="preserve">Language added under allowable cost to include post- closing cost and abatement under demolition. </w:t>
            </w:r>
          </w:p>
          <w:p w14:paraId="399C281E" w14:textId="77777777" w:rsidR="009B6940" w:rsidRPr="007574F4" w:rsidRDefault="009B6940" w:rsidP="009B6940">
            <w:pPr>
              <w:pStyle w:val="ListParagraph"/>
              <w:rPr>
                <w:rFonts w:ascii="Calibri" w:hAnsi="Calibri" w:cs="Calibri"/>
              </w:rPr>
            </w:pPr>
            <w:r>
              <w:rPr>
                <w:rFonts w:ascii="Calibri" w:hAnsi="Calibri" w:cs="Calibri"/>
              </w:rPr>
              <w:t xml:space="preserve"> “</w:t>
            </w:r>
            <w:r w:rsidRPr="007574F4">
              <w:rPr>
                <w:rFonts w:ascii="Calibri" w:hAnsi="Calibri" w:cs="Calibri"/>
              </w:rPr>
              <w:t xml:space="preserve">Allowable cost can be applied to the following: </w:t>
            </w:r>
          </w:p>
          <w:p w14:paraId="36BBE4EF" w14:textId="77777777" w:rsidR="009B6940" w:rsidRPr="007574F4" w:rsidRDefault="009B6940" w:rsidP="009B6940">
            <w:pPr>
              <w:pStyle w:val="ListParagraph"/>
              <w:rPr>
                <w:rFonts w:ascii="Calibri" w:hAnsi="Calibri" w:cs="Calibri"/>
              </w:rPr>
            </w:pPr>
            <w:r w:rsidRPr="007574F4">
              <w:rPr>
                <w:rFonts w:ascii="Calibri" w:hAnsi="Calibri" w:cs="Calibri"/>
              </w:rPr>
              <w:t>Acquisition of existing multifamily properties and land to create green spaces and/or detention.</w:t>
            </w:r>
          </w:p>
          <w:p w14:paraId="614A7D17" w14:textId="364D63A9" w:rsidR="009B6940" w:rsidRPr="007574F4" w:rsidRDefault="009B6940" w:rsidP="009B6940">
            <w:pPr>
              <w:pStyle w:val="ListParagraph"/>
              <w:rPr>
                <w:rFonts w:ascii="Calibri" w:hAnsi="Calibri" w:cs="Calibri"/>
              </w:rPr>
            </w:pPr>
            <w:r w:rsidRPr="007574F4">
              <w:rPr>
                <w:rFonts w:ascii="Calibri" w:hAnsi="Calibri" w:cs="Calibri"/>
              </w:rPr>
              <w:t xml:space="preserve">Post-closing cost </w:t>
            </w:r>
            <w:r w:rsidR="008F4356">
              <w:rPr>
                <w:rFonts w:ascii="Calibri" w:hAnsi="Calibri" w:cs="Calibri"/>
              </w:rPr>
              <w:t>related to acquiring the property.</w:t>
            </w:r>
          </w:p>
          <w:p w14:paraId="01ADB426" w14:textId="77777777" w:rsidR="009B6940" w:rsidRPr="007574F4" w:rsidRDefault="009B6940" w:rsidP="009B6940">
            <w:pPr>
              <w:pStyle w:val="ListParagraph"/>
              <w:rPr>
                <w:rFonts w:ascii="Calibri" w:hAnsi="Calibri" w:cs="Calibri"/>
              </w:rPr>
            </w:pPr>
            <w:r w:rsidRPr="007574F4">
              <w:rPr>
                <w:rFonts w:ascii="Calibri" w:hAnsi="Calibri" w:cs="Calibri"/>
              </w:rPr>
              <w:t>Demolition which will serve to reduce density in vulnerable areas.</w:t>
            </w:r>
          </w:p>
          <w:p w14:paraId="7FE4D2A5" w14:textId="51F51E50" w:rsidR="009B6940" w:rsidRPr="007574F4" w:rsidRDefault="008F4356" w:rsidP="009B6940">
            <w:pPr>
              <w:pStyle w:val="ListParagraph"/>
              <w:rPr>
                <w:rFonts w:ascii="Calibri" w:hAnsi="Calibri" w:cs="Calibri"/>
              </w:rPr>
            </w:pPr>
            <w:r>
              <w:rPr>
                <w:rFonts w:ascii="Calibri" w:hAnsi="Calibri" w:cs="Calibri"/>
              </w:rPr>
              <w:t>Asbestos a</w:t>
            </w:r>
            <w:r w:rsidR="009B6940" w:rsidRPr="007574F4">
              <w:rPr>
                <w:rFonts w:ascii="Calibri" w:hAnsi="Calibri" w:cs="Calibri"/>
              </w:rPr>
              <w:t>batement cost</w:t>
            </w:r>
            <w:r>
              <w:rPr>
                <w:rFonts w:ascii="Calibri" w:hAnsi="Calibri" w:cs="Calibri"/>
              </w:rPr>
              <w:t>.</w:t>
            </w:r>
            <w:r w:rsidR="009B6940" w:rsidRPr="007574F4">
              <w:rPr>
                <w:rFonts w:ascii="Calibri" w:hAnsi="Calibri" w:cs="Calibri"/>
              </w:rPr>
              <w:t xml:space="preserve"> </w:t>
            </w:r>
            <w:r w:rsidR="009B6940">
              <w:rPr>
                <w:rFonts w:ascii="Calibri" w:hAnsi="Calibri" w:cs="Calibri"/>
              </w:rPr>
              <w:t>“</w:t>
            </w:r>
          </w:p>
          <w:p w14:paraId="1DE4255B" w14:textId="77777777" w:rsidR="009B6940" w:rsidRDefault="009B6940" w:rsidP="009B6940">
            <w:pPr>
              <w:pStyle w:val="ListParagraph"/>
              <w:rPr>
                <w:rFonts w:ascii="Calibri" w:hAnsi="Calibri" w:cs="Calibri"/>
              </w:rPr>
            </w:pPr>
          </w:p>
        </w:tc>
        <w:tc>
          <w:tcPr>
            <w:tcW w:w="868" w:type="dxa"/>
          </w:tcPr>
          <w:p w14:paraId="5479C429" w14:textId="0871F0AB" w:rsidR="009B6940" w:rsidRDefault="009B6940" w:rsidP="009B6940">
            <w:pPr>
              <w:jc w:val="center"/>
              <w:rPr>
                <w:rFonts w:ascii="Calibri" w:hAnsi="Calibri" w:cs="Calibri"/>
              </w:rPr>
            </w:pPr>
            <w:r>
              <w:rPr>
                <w:rFonts w:ascii="Calibri" w:hAnsi="Calibri" w:cs="Calibri"/>
              </w:rPr>
              <w:t>9</w:t>
            </w:r>
          </w:p>
        </w:tc>
      </w:tr>
    </w:tbl>
    <w:p w14:paraId="19E878FA" w14:textId="77777777" w:rsidR="00A94AAB" w:rsidRDefault="00A94AAB" w:rsidP="00A94AAB">
      <w:pPr>
        <w:rPr>
          <w:rFonts w:ascii="Calibri" w:hAnsi="Calibri" w:cs="Calibri"/>
        </w:rPr>
      </w:pPr>
      <w:r>
        <w:rPr>
          <w:rFonts w:ascii="Calibri" w:hAnsi="Calibri" w:cs="Calibri"/>
        </w:rPr>
        <w:br w:type="page"/>
      </w:r>
    </w:p>
    <w:sdt>
      <w:sdtPr>
        <w:rPr>
          <w:smallCaps w:val="0"/>
          <w:spacing w:val="0"/>
          <w:sz w:val="22"/>
          <w:szCs w:val="22"/>
          <w:lang w:bidi="ar-SA"/>
        </w:rPr>
        <w:id w:val="1977957916"/>
        <w:docPartObj>
          <w:docPartGallery w:val="Table of Contents"/>
          <w:docPartUnique/>
        </w:docPartObj>
      </w:sdtPr>
      <w:sdtEndPr>
        <w:rPr>
          <w:b/>
          <w:bCs/>
          <w:noProof/>
        </w:rPr>
      </w:sdtEndPr>
      <w:sdtContent>
        <w:p w14:paraId="116B508E" w14:textId="5839C2CE" w:rsidR="009A54F9" w:rsidRDefault="009A54F9">
          <w:pPr>
            <w:pStyle w:val="TOCHeading"/>
          </w:pPr>
          <w:r>
            <w:t>Contents</w:t>
          </w:r>
        </w:p>
        <w:p w14:paraId="14E55AB4" w14:textId="797E9BC1" w:rsidR="000F11D6" w:rsidRDefault="009A54F9">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22628972" w:history="1">
            <w:r w:rsidR="000F11D6" w:rsidRPr="00FC4C07">
              <w:rPr>
                <w:rStyle w:val="Hyperlink"/>
                <w:rFonts w:ascii="Calibri" w:hAnsi="Calibri" w:cs="Calibri"/>
                <w:noProof/>
              </w:rPr>
              <w:t>Introduction</w:t>
            </w:r>
            <w:r w:rsidR="000F11D6">
              <w:rPr>
                <w:noProof/>
                <w:webHidden/>
              </w:rPr>
              <w:tab/>
            </w:r>
            <w:r w:rsidR="000F11D6">
              <w:rPr>
                <w:noProof/>
                <w:webHidden/>
              </w:rPr>
              <w:fldChar w:fldCharType="begin"/>
            </w:r>
            <w:r w:rsidR="000F11D6">
              <w:rPr>
                <w:noProof/>
                <w:webHidden/>
              </w:rPr>
              <w:instrText xml:space="preserve"> PAGEREF _Toc22628972 \h </w:instrText>
            </w:r>
            <w:r w:rsidR="000F11D6">
              <w:rPr>
                <w:noProof/>
                <w:webHidden/>
              </w:rPr>
            </w:r>
            <w:r w:rsidR="000F11D6">
              <w:rPr>
                <w:noProof/>
                <w:webHidden/>
              </w:rPr>
              <w:fldChar w:fldCharType="separate"/>
            </w:r>
            <w:r w:rsidR="000F11D6">
              <w:rPr>
                <w:noProof/>
                <w:webHidden/>
              </w:rPr>
              <w:t>6</w:t>
            </w:r>
            <w:r w:rsidR="000F11D6">
              <w:rPr>
                <w:noProof/>
                <w:webHidden/>
              </w:rPr>
              <w:fldChar w:fldCharType="end"/>
            </w:r>
          </w:hyperlink>
        </w:p>
        <w:p w14:paraId="3DD57007" w14:textId="35B00AEC" w:rsidR="000F11D6" w:rsidRDefault="00FD76D6">
          <w:pPr>
            <w:pStyle w:val="TOC1"/>
            <w:rPr>
              <w:rFonts w:asciiTheme="minorHAnsi" w:eastAsiaTheme="minorEastAsia" w:hAnsiTheme="minorHAnsi" w:cstheme="minorBidi"/>
              <w:noProof/>
            </w:rPr>
          </w:pPr>
          <w:hyperlink w:anchor="_Toc22628973" w:history="1">
            <w:r w:rsidR="000F11D6" w:rsidRPr="00FC4C07">
              <w:rPr>
                <w:rStyle w:val="Hyperlink"/>
                <w:rFonts w:ascii="Calibri" w:hAnsi="Calibri" w:cs="Calibri"/>
                <w:noProof/>
              </w:rPr>
              <w:t>Multifamily Voluntary Buyout Administration</w:t>
            </w:r>
            <w:r w:rsidR="000F11D6">
              <w:rPr>
                <w:noProof/>
                <w:webHidden/>
              </w:rPr>
              <w:tab/>
            </w:r>
            <w:r w:rsidR="000F11D6">
              <w:rPr>
                <w:noProof/>
                <w:webHidden/>
              </w:rPr>
              <w:fldChar w:fldCharType="begin"/>
            </w:r>
            <w:r w:rsidR="000F11D6">
              <w:rPr>
                <w:noProof/>
                <w:webHidden/>
              </w:rPr>
              <w:instrText xml:space="preserve"> PAGEREF _Toc22628973 \h </w:instrText>
            </w:r>
            <w:r w:rsidR="000F11D6">
              <w:rPr>
                <w:noProof/>
                <w:webHidden/>
              </w:rPr>
            </w:r>
            <w:r w:rsidR="000F11D6">
              <w:rPr>
                <w:noProof/>
                <w:webHidden/>
              </w:rPr>
              <w:fldChar w:fldCharType="separate"/>
            </w:r>
            <w:r w:rsidR="000F11D6">
              <w:rPr>
                <w:noProof/>
                <w:webHidden/>
              </w:rPr>
              <w:t>6</w:t>
            </w:r>
            <w:r w:rsidR="000F11D6">
              <w:rPr>
                <w:noProof/>
                <w:webHidden/>
              </w:rPr>
              <w:fldChar w:fldCharType="end"/>
            </w:r>
          </w:hyperlink>
        </w:p>
        <w:p w14:paraId="40377EB4" w14:textId="32F1CEAD" w:rsidR="000F11D6" w:rsidRDefault="00FD76D6">
          <w:pPr>
            <w:pStyle w:val="TOC1"/>
            <w:rPr>
              <w:rFonts w:asciiTheme="minorHAnsi" w:eastAsiaTheme="minorEastAsia" w:hAnsiTheme="minorHAnsi" w:cstheme="minorBidi"/>
              <w:noProof/>
            </w:rPr>
          </w:pPr>
          <w:hyperlink w:anchor="_Toc22628974" w:history="1">
            <w:r w:rsidR="000F11D6" w:rsidRPr="00FC4C07">
              <w:rPr>
                <w:rStyle w:val="Hyperlink"/>
                <w:rFonts w:ascii="Calibri" w:hAnsi="Calibri" w:cs="Calibri"/>
                <w:noProof/>
              </w:rPr>
              <w:t>Roles and Responsibilities</w:t>
            </w:r>
            <w:r w:rsidR="000F11D6">
              <w:rPr>
                <w:noProof/>
                <w:webHidden/>
              </w:rPr>
              <w:tab/>
            </w:r>
            <w:r w:rsidR="000F11D6">
              <w:rPr>
                <w:noProof/>
                <w:webHidden/>
              </w:rPr>
              <w:fldChar w:fldCharType="begin"/>
            </w:r>
            <w:r w:rsidR="000F11D6">
              <w:rPr>
                <w:noProof/>
                <w:webHidden/>
              </w:rPr>
              <w:instrText xml:space="preserve"> PAGEREF _Toc22628974 \h </w:instrText>
            </w:r>
            <w:r w:rsidR="000F11D6">
              <w:rPr>
                <w:noProof/>
                <w:webHidden/>
              </w:rPr>
            </w:r>
            <w:r w:rsidR="000F11D6">
              <w:rPr>
                <w:noProof/>
                <w:webHidden/>
              </w:rPr>
              <w:fldChar w:fldCharType="separate"/>
            </w:r>
            <w:r w:rsidR="000F11D6">
              <w:rPr>
                <w:noProof/>
                <w:webHidden/>
              </w:rPr>
              <w:t>7</w:t>
            </w:r>
            <w:r w:rsidR="000F11D6">
              <w:rPr>
                <w:noProof/>
                <w:webHidden/>
              </w:rPr>
              <w:fldChar w:fldCharType="end"/>
            </w:r>
          </w:hyperlink>
        </w:p>
        <w:p w14:paraId="2C04A824" w14:textId="4BCB58DA" w:rsidR="000F11D6" w:rsidRDefault="00FD76D6">
          <w:pPr>
            <w:pStyle w:val="TOC1"/>
            <w:rPr>
              <w:rFonts w:asciiTheme="minorHAnsi" w:eastAsiaTheme="minorEastAsia" w:hAnsiTheme="minorHAnsi" w:cstheme="minorBidi"/>
              <w:noProof/>
            </w:rPr>
          </w:pPr>
          <w:hyperlink w:anchor="_Toc22628975" w:history="1">
            <w:r w:rsidR="000F11D6" w:rsidRPr="00FC4C07">
              <w:rPr>
                <w:rStyle w:val="Hyperlink"/>
                <w:rFonts w:ascii="Calibri" w:hAnsi="Calibri" w:cs="Calibri"/>
                <w:noProof/>
              </w:rPr>
              <w:t>CDBG-DR National Objectives</w:t>
            </w:r>
            <w:r w:rsidR="000F11D6">
              <w:rPr>
                <w:noProof/>
                <w:webHidden/>
              </w:rPr>
              <w:tab/>
            </w:r>
            <w:r w:rsidR="000F11D6">
              <w:rPr>
                <w:noProof/>
                <w:webHidden/>
              </w:rPr>
              <w:fldChar w:fldCharType="begin"/>
            </w:r>
            <w:r w:rsidR="000F11D6">
              <w:rPr>
                <w:noProof/>
                <w:webHidden/>
              </w:rPr>
              <w:instrText xml:space="preserve"> PAGEREF _Toc22628975 \h </w:instrText>
            </w:r>
            <w:r w:rsidR="000F11D6">
              <w:rPr>
                <w:noProof/>
                <w:webHidden/>
              </w:rPr>
            </w:r>
            <w:r w:rsidR="000F11D6">
              <w:rPr>
                <w:noProof/>
                <w:webHidden/>
              </w:rPr>
              <w:fldChar w:fldCharType="separate"/>
            </w:r>
            <w:r w:rsidR="000F11D6">
              <w:rPr>
                <w:noProof/>
                <w:webHidden/>
              </w:rPr>
              <w:t>7</w:t>
            </w:r>
            <w:r w:rsidR="000F11D6">
              <w:rPr>
                <w:noProof/>
                <w:webHidden/>
              </w:rPr>
              <w:fldChar w:fldCharType="end"/>
            </w:r>
          </w:hyperlink>
        </w:p>
        <w:p w14:paraId="49B3445F" w14:textId="6353574B" w:rsidR="000F11D6" w:rsidRDefault="00FD76D6">
          <w:pPr>
            <w:pStyle w:val="TOC1"/>
            <w:rPr>
              <w:rFonts w:asciiTheme="minorHAnsi" w:eastAsiaTheme="minorEastAsia" w:hAnsiTheme="minorHAnsi" w:cstheme="minorBidi"/>
              <w:noProof/>
            </w:rPr>
          </w:pPr>
          <w:hyperlink w:anchor="_Toc22628976" w:history="1">
            <w:r w:rsidR="000F11D6" w:rsidRPr="00FC4C07">
              <w:rPr>
                <w:rStyle w:val="Hyperlink"/>
                <w:rFonts w:ascii="Calibri" w:hAnsi="Calibri" w:cs="Calibri"/>
                <w:noProof/>
              </w:rPr>
              <w:t>Applicable Laws &amp; Regulations</w:t>
            </w:r>
            <w:r w:rsidR="000F11D6">
              <w:rPr>
                <w:noProof/>
                <w:webHidden/>
              </w:rPr>
              <w:tab/>
            </w:r>
            <w:r w:rsidR="000F11D6">
              <w:rPr>
                <w:noProof/>
                <w:webHidden/>
              </w:rPr>
              <w:fldChar w:fldCharType="begin"/>
            </w:r>
            <w:r w:rsidR="000F11D6">
              <w:rPr>
                <w:noProof/>
                <w:webHidden/>
              </w:rPr>
              <w:instrText xml:space="preserve"> PAGEREF _Toc22628976 \h </w:instrText>
            </w:r>
            <w:r w:rsidR="000F11D6">
              <w:rPr>
                <w:noProof/>
                <w:webHidden/>
              </w:rPr>
            </w:r>
            <w:r w:rsidR="000F11D6">
              <w:rPr>
                <w:noProof/>
                <w:webHidden/>
              </w:rPr>
              <w:fldChar w:fldCharType="separate"/>
            </w:r>
            <w:r w:rsidR="000F11D6">
              <w:rPr>
                <w:noProof/>
                <w:webHidden/>
              </w:rPr>
              <w:t>7</w:t>
            </w:r>
            <w:r w:rsidR="000F11D6">
              <w:rPr>
                <w:noProof/>
                <w:webHidden/>
              </w:rPr>
              <w:fldChar w:fldCharType="end"/>
            </w:r>
          </w:hyperlink>
        </w:p>
        <w:p w14:paraId="7D52BB70" w14:textId="70A482B1" w:rsidR="000F11D6" w:rsidRDefault="00FD76D6">
          <w:pPr>
            <w:pStyle w:val="TOC1"/>
            <w:rPr>
              <w:rFonts w:asciiTheme="minorHAnsi" w:eastAsiaTheme="minorEastAsia" w:hAnsiTheme="minorHAnsi" w:cstheme="minorBidi"/>
              <w:noProof/>
            </w:rPr>
          </w:pPr>
          <w:hyperlink w:anchor="_Toc22628977" w:history="1">
            <w:r w:rsidR="000F11D6" w:rsidRPr="00FC4C07">
              <w:rPr>
                <w:rStyle w:val="Hyperlink"/>
                <w:rFonts w:ascii="Calibri" w:hAnsi="Calibri" w:cs="Calibri"/>
                <w:noProof/>
              </w:rPr>
              <w:t>MVB Program Eligibility Overview</w:t>
            </w:r>
            <w:r w:rsidR="000F11D6">
              <w:rPr>
                <w:noProof/>
                <w:webHidden/>
              </w:rPr>
              <w:tab/>
            </w:r>
            <w:r w:rsidR="000F11D6">
              <w:rPr>
                <w:noProof/>
                <w:webHidden/>
              </w:rPr>
              <w:fldChar w:fldCharType="begin"/>
            </w:r>
            <w:r w:rsidR="000F11D6">
              <w:rPr>
                <w:noProof/>
                <w:webHidden/>
              </w:rPr>
              <w:instrText xml:space="preserve"> PAGEREF _Toc22628977 \h </w:instrText>
            </w:r>
            <w:r w:rsidR="000F11D6">
              <w:rPr>
                <w:noProof/>
                <w:webHidden/>
              </w:rPr>
            </w:r>
            <w:r w:rsidR="000F11D6">
              <w:rPr>
                <w:noProof/>
                <w:webHidden/>
              </w:rPr>
              <w:fldChar w:fldCharType="separate"/>
            </w:r>
            <w:r w:rsidR="000F11D6">
              <w:rPr>
                <w:noProof/>
                <w:webHidden/>
              </w:rPr>
              <w:t>8</w:t>
            </w:r>
            <w:r w:rsidR="000F11D6">
              <w:rPr>
                <w:noProof/>
                <w:webHidden/>
              </w:rPr>
              <w:fldChar w:fldCharType="end"/>
            </w:r>
          </w:hyperlink>
        </w:p>
        <w:p w14:paraId="69EDAA1A" w14:textId="75B4D40F" w:rsidR="000F11D6" w:rsidRDefault="00FD76D6">
          <w:pPr>
            <w:pStyle w:val="TOC2"/>
            <w:rPr>
              <w:rFonts w:asciiTheme="minorHAnsi" w:eastAsiaTheme="minorEastAsia" w:hAnsiTheme="minorHAnsi" w:cstheme="minorBidi"/>
              <w:noProof/>
            </w:rPr>
          </w:pPr>
          <w:hyperlink w:anchor="_Toc22628978" w:history="1">
            <w:r w:rsidR="000F11D6" w:rsidRPr="00FC4C07">
              <w:rPr>
                <w:rStyle w:val="Hyperlink"/>
                <w:noProof/>
              </w:rPr>
              <w:t>Eligible Participants:</w:t>
            </w:r>
            <w:r w:rsidR="000F11D6">
              <w:rPr>
                <w:noProof/>
                <w:webHidden/>
              </w:rPr>
              <w:tab/>
            </w:r>
            <w:r w:rsidR="000F11D6">
              <w:rPr>
                <w:noProof/>
                <w:webHidden/>
              </w:rPr>
              <w:fldChar w:fldCharType="begin"/>
            </w:r>
            <w:r w:rsidR="000F11D6">
              <w:rPr>
                <w:noProof/>
                <w:webHidden/>
              </w:rPr>
              <w:instrText xml:space="preserve"> PAGEREF _Toc22628978 \h </w:instrText>
            </w:r>
            <w:r w:rsidR="000F11D6">
              <w:rPr>
                <w:noProof/>
                <w:webHidden/>
              </w:rPr>
            </w:r>
            <w:r w:rsidR="000F11D6">
              <w:rPr>
                <w:noProof/>
                <w:webHidden/>
              </w:rPr>
              <w:fldChar w:fldCharType="separate"/>
            </w:r>
            <w:r w:rsidR="000F11D6">
              <w:rPr>
                <w:noProof/>
                <w:webHidden/>
              </w:rPr>
              <w:t>8</w:t>
            </w:r>
            <w:r w:rsidR="000F11D6">
              <w:rPr>
                <w:noProof/>
                <w:webHidden/>
              </w:rPr>
              <w:fldChar w:fldCharType="end"/>
            </w:r>
          </w:hyperlink>
        </w:p>
        <w:p w14:paraId="5DA38F5F" w14:textId="56BCE230" w:rsidR="000F11D6" w:rsidRDefault="00FD76D6">
          <w:pPr>
            <w:pStyle w:val="TOC2"/>
            <w:rPr>
              <w:rFonts w:asciiTheme="minorHAnsi" w:eastAsiaTheme="minorEastAsia" w:hAnsiTheme="minorHAnsi" w:cstheme="minorBidi"/>
              <w:noProof/>
            </w:rPr>
          </w:pPr>
          <w:hyperlink w:anchor="_Toc22628979" w:history="1">
            <w:r w:rsidR="000F11D6" w:rsidRPr="00FC4C07">
              <w:rPr>
                <w:rStyle w:val="Hyperlink"/>
                <w:noProof/>
              </w:rPr>
              <w:t>Eligibility Requirements:</w:t>
            </w:r>
            <w:r w:rsidR="000F11D6">
              <w:rPr>
                <w:noProof/>
                <w:webHidden/>
              </w:rPr>
              <w:tab/>
            </w:r>
            <w:r w:rsidR="000F11D6">
              <w:rPr>
                <w:noProof/>
                <w:webHidden/>
              </w:rPr>
              <w:fldChar w:fldCharType="begin"/>
            </w:r>
            <w:r w:rsidR="000F11D6">
              <w:rPr>
                <w:noProof/>
                <w:webHidden/>
              </w:rPr>
              <w:instrText xml:space="preserve"> PAGEREF _Toc22628979 \h </w:instrText>
            </w:r>
            <w:r w:rsidR="000F11D6">
              <w:rPr>
                <w:noProof/>
                <w:webHidden/>
              </w:rPr>
            </w:r>
            <w:r w:rsidR="000F11D6">
              <w:rPr>
                <w:noProof/>
                <w:webHidden/>
              </w:rPr>
              <w:fldChar w:fldCharType="separate"/>
            </w:r>
            <w:r w:rsidR="000F11D6">
              <w:rPr>
                <w:noProof/>
                <w:webHidden/>
              </w:rPr>
              <w:t>8</w:t>
            </w:r>
            <w:r w:rsidR="000F11D6">
              <w:rPr>
                <w:noProof/>
                <w:webHidden/>
              </w:rPr>
              <w:fldChar w:fldCharType="end"/>
            </w:r>
          </w:hyperlink>
        </w:p>
        <w:p w14:paraId="66C006E0" w14:textId="50C7CD0A" w:rsidR="000F11D6" w:rsidRDefault="00FD76D6">
          <w:pPr>
            <w:pStyle w:val="TOC2"/>
            <w:rPr>
              <w:rFonts w:asciiTheme="minorHAnsi" w:eastAsiaTheme="minorEastAsia" w:hAnsiTheme="minorHAnsi" w:cstheme="minorBidi"/>
              <w:noProof/>
            </w:rPr>
          </w:pPr>
          <w:hyperlink w:anchor="_Toc22628980" w:history="1">
            <w:r w:rsidR="000F11D6" w:rsidRPr="00FC4C07">
              <w:rPr>
                <w:rStyle w:val="Hyperlink"/>
                <w:noProof/>
              </w:rPr>
              <w:t>Eligible Activities</w:t>
            </w:r>
            <w:r w:rsidR="000F11D6">
              <w:rPr>
                <w:noProof/>
                <w:webHidden/>
              </w:rPr>
              <w:tab/>
            </w:r>
            <w:r w:rsidR="000F11D6">
              <w:rPr>
                <w:noProof/>
                <w:webHidden/>
              </w:rPr>
              <w:fldChar w:fldCharType="begin"/>
            </w:r>
            <w:r w:rsidR="000F11D6">
              <w:rPr>
                <w:noProof/>
                <w:webHidden/>
              </w:rPr>
              <w:instrText xml:space="preserve"> PAGEREF _Toc22628980 \h </w:instrText>
            </w:r>
            <w:r w:rsidR="000F11D6">
              <w:rPr>
                <w:noProof/>
                <w:webHidden/>
              </w:rPr>
            </w:r>
            <w:r w:rsidR="000F11D6">
              <w:rPr>
                <w:noProof/>
                <w:webHidden/>
              </w:rPr>
              <w:fldChar w:fldCharType="separate"/>
            </w:r>
            <w:r w:rsidR="000F11D6">
              <w:rPr>
                <w:noProof/>
                <w:webHidden/>
              </w:rPr>
              <w:t>9</w:t>
            </w:r>
            <w:r w:rsidR="000F11D6">
              <w:rPr>
                <w:noProof/>
                <w:webHidden/>
              </w:rPr>
              <w:fldChar w:fldCharType="end"/>
            </w:r>
          </w:hyperlink>
        </w:p>
        <w:p w14:paraId="6FD4B7A2" w14:textId="2D30C1CA" w:rsidR="000F11D6" w:rsidRDefault="00FD76D6">
          <w:pPr>
            <w:pStyle w:val="TOC2"/>
            <w:rPr>
              <w:rFonts w:asciiTheme="minorHAnsi" w:eastAsiaTheme="minorEastAsia" w:hAnsiTheme="minorHAnsi" w:cstheme="minorBidi"/>
              <w:noProof/>
            </w:rPr>
          </w:pPr>
          <w:hyperlink w:anchor="_Toc22628981" w:history="1">
            <w:r w:rsidR="000F11D6" w:rsidRPr="00FC4C07">
              <w:rPr>
                <w:rStyle w:val="Hyperlink"/>
                <w:noProof/>
              </w:rPr>
              <w:t>Maximum Assistance</w:t>
            </w:r>
            <w:r w:rsidR="000F11D6">
              <w:rPr>
                <w:noProof/>
                <w:webHidden/>
              </w:rPr>
              <w:tab/>
            </w:r>
            <w:r w:rsidR="000F11D6">
              <w:rPr>
                <w:noProof/>
                <w:webHidden/>
              </w:rPr>
              <w:fldChar w:fldCharType="begin"/>
            </w:r>
            <w:r w:rsidR="000F11D6">
              <w:rPr>
                <w:noProof/>
                <w:webHidden/>
              </w:rPr>
              <w:instrText xml:space="preserve"> PAGEREF _Toc22628981 \h </w:instrText>
            </w:r>
            <w:r w:rsidR="000F11D6">
              <w:rPr>
                <w:noProof/>
                <w:webHidden/>
              </w:rPr>
            </w:r>
            <w:r w:rsidR="000F11D6">
              <w:rPr>
                <w:noProof/>
                <w:webHidden/>
              </w:rPr>
              <w:fldChar w:fldCharType="separate"/>
            </w:r>
            <w:r w:rsidR="000F11D6">
              <w:rPr>
                <w:noProof/>
                <w:webHidden/>
              </w:rPr>
              <w:t>9</w:t>
            </w:r>
            <w:r w:rsidR="000F11D6">
              <w:rPr>
                <w:noProof/>
                <w:webHidden/>
              </w:rPr>
              <w:fldChar w:fldCharType="end"/>
            </w:r>
          </w:hyperlink>
        </w:p>
        <w:p w14:paraId="4E95B025" w14:textId="59915558" w:rsidR="000F11D6" w:rsidRDefault="00FD76D6">
          <w:pPr>
            <w:pStyle w:val="TOC1"/>
            <w:rPr>
              <w:rFonts w:asciiTheme="minorHAnsi" w:eastAsiaTheme="minorEastAsia" w:hAnsiTheme="minorHAnsi" w:cstheme="minorBidi"/>
              <w:noProof/>
            </w:rPr>
          </w:pPr>
          <w:hyperlink w:anchor="_Toc22628982" w:history="1">
            <w:r w:rsidR="000F11D6" w:rsidRPr="00FC4C07">
              <w:rPr>
                <w:rStyle w:val="Hyperlink"/>
                <w:rFonts w:ascii="Calibri" w:hAnsi="Calibri" w:cs="Calibri"/>
                <w:noProof/>
              </w:rPr>
              <w:t>MVB Program Prioritization</w:t>
            </w:r>
            <w:r w:rsidR="000F11D6">
              <w:rPr>
                <w:noProof/>
                <w:webHidden/>
              </w:rPr>
              <w:tab/>
            </w:r>
            <w:r w:rsidR="000F11D6">
              <w:rPr>
                <w:noProof/>
                <w:webHidden/>
              </w:rPr>
              <w:fldChar w:fldCharType="begin"/>
            </w:r>
            <w:r w:rsidR="000F11D6">
              <w:rPr>
                <w:noProof/>
                <w:webHidden/>
              </w:rPr>
              <w:instrText xml:space="preserve"> PAGEREF _Toc22628982 \h </w:instrText>
            </w:r>
            <w:r w:rsidR="000F11D6">
              <w:rPr>
                <w:noProof/>
                <w:webHidden/>
              </w:rPr>
            </w:r>
            <w:r w:rsidR="000F11D6">
              <w:rPr>
                <w:noProof/>
                <w:webHidden/>
              </w:rPr>
              <w:fldChar w:fldCharType="separate"/>
            </w:r>
            <w:r w:rsidR="000F11D6">
              <w:rPr>
                <w:noProof/>
                <w:webHidden/>
              </w:rPr>
              <w:t>9</w:t>
            </w:r>
            <w:r w:rsidR="000F11D6">
              <w:rPr>
                <w:noProof/>
                <w:webHidden/>
              </w:rPr>
              <w:fldChar w:fldCharType="end"/>
            </w:r>
          </w:hyperlink>
        </w:p>
        <w:p w14:paraId="5F9363AA" w14:textId="09DE6C17" w:rsidR="000F11D6" w:rsidRDefault="00FD76D6">
          <w:pPr>
            <w:pStyle w:val="TOC1"/>
            <w:rPr>
              <w:rFonts w:asciiTheme="minorHAnsi" w:eastAsiaTheme="minorEastAsia" w:hAnsiTheme="minorHAnsi" w:cstheme="minorBidi"/>
              <w:noProof/>
            </w:rPr>
          </w:pPr>
          <w:hyperlink w:anchor="_Toc22628983" w:history="1">
            <w:r w:rsidR="000F11D6" w:rsidRPr="00FC4C07">
              <w:rPr>
                <w:rStyle w:val="Hyperlink"/>
                <w:rFonts w:ascii="Calibri" w:hAnsi="Calibri" w:cs="Calibri"/>
                <w:noProof/>
              </w:rPr>
              <w:t>Selection Criteria</w:t>
            </w:r>
            <w:r w:rsidR="000F11D6">
              <w:rPr>
                <w:noProof/>
                <w:webHidden/>
              </w:rPr>
              <w:tab/>
            </w:r>
            <w:r w:rsidR="000F11D6">
              <w:rPr>
                <w:noProof/>
                <w:webHidden/>
              </w:rPr>
              <w:fldChar w:fldCharType="begin"/>
            </w:r>
            <w:r w:rsidR="000F11D6">
              <w:rPr>
                <w:noProof/>
                <w:webHidden/>
              </w:rPr>
              <w:instrText xml:space="preserve"> PAGEREF _Toc22628983 \h </w:instrText>
            </w:r>
            <w:r w:rsidR="000F11D6">
              <w:rPr>
                <w:noProof/>
                <w:webHidden/>
              </w:rPr>
            </w:r>
            <w:r w:rsidR="000F11D6">
              <w:rPr>
                <w:noProof/>
                <w:webHidden/>
              </w:rPr>
              <w:fldChar w:fldCharType="separate"/>
            </w:r>
            <w:r w:rsidR="000F11D6">
              <w:rPr>
                <w:noProof/>
                <w:webHidden/>
              </w:rPr>
              <w:t>9</w:t>
            </w:r>
            <w:r w:rsidR="000F11D6">
              <w:rPr>
                <w:noProof/>
                <w:webHidden/>
              </w:rPr>
              <w:fldChar w:fldCharType="end"/>
            </w:r>
          </w:hyperlink>
        </w:p>
        <w:p w14:paraId="34636400" w14:textId="0E226745" w:rsidR="000F11D6" w:rsidRDefault="00FD76D6">
          <w:pPr>
            <w:pStyle w:val="TOC1"/>
            <w:rPr>
              <w:rFonts w:asciiTheme="minorHAnsi" w:eastAsiaTheme="minorEastAsia" w:hAnsiTheme="minorHAnsi" w:cstheme="minorBidi"/>
              <w:noProof/>
            </w:rPr>
          </w:pPr>
          <w:hyperlink w:anchor="_Toc22628984" w:history="1">
            <w:r w:rsidR="000F11D6" w:rsidRPr="00FC4C07">
              <w:rPr>
                <w:rStyle w:val="Hyperlink"/>
                <w:rFonts w:ascii="Calibri" w:hAnsi="Calibri" w:cs="Calibri"/>
                <w:noProof/>
              </w:rPr>
              <w:t>Buyout Incentives</w:t>
            </w:r>
            <w:r w:rsidR="000F11D6">
              <w:rPr>
                <w:noProof/>
                <w:webHidden/>
              </w:rPr>
              <w:tab/>
            </w:r>
            <w:r w:rsidR="000F11D6">
              <w:rPr>
                <w:noProof/>
                <w:webHidden/>
              </w:rPr>
              <w:fldChar w:fldCharType="begin"/>
            </w:r>
            <w:r w:rsidR="000F11D6">
              <w:rPr>
                <w:noProof/>
                <w:webHidden/>
              </w:rPr>
              <w:instrText xml:space="preserve"> PAGEREF _Toc22628984 \h </w:instrText>
            </w:r>
            <w:r w:rsidR="000F11D6">
              <w:rPr>
                <w:noProof/>
                <w:webHidden/>
              </w:rPr>
            </w:r>
            <w:r w:rsidR="000F11D6">
              <w:rPr>
                <w:noProof/>
                <w:webHidden/>
              </w:rPr>
              <w:fldChar w:fldCharType="separate"/>
            </w:r>
            <w:r w:rsidR="000F11D6">
              <w:rPr>
                <w:noProof/>
                <w:webHidden/>
              </w:rPr>
              <w:t>10</w:t>
            </w:r>
            <w:r w:rsidR="000F11D6">
              <w:rPr>
                <w:noProof/>
                <w:webHidden/>
              </w:rPr>
              <w:fldChar w:fldCharType="end"/>
            </w:r>
          </w:hyperlink>
        </w:p>
        <w:p w14:paraId="64001569" w14:textId="0F44DDEB" w:rsidR="000F11D6" w:rsidRDefault="00FD76D6">
          <w:pPr>
            <w:pStyle w:val="TOC1"/>
            <w:rPr>
              <w:rFonts w:asciiTheme="minorHAnsi" w:eastAsiaTheme="minorEastAsia" w:hAnsiTheme="minorHAnsi" w:cstheme="minorBidi"/>
              <w:noProof/>
            </w:rPr>
          </w:pPr>
          <w:hyperlink w:anchor="_Toc22628985" w:history="1">
            <w:r w:rsidR="000F11D6" w:rsidRPr="00FC4C07">
              <w:rPr>
                <w:rStyle w:val="Hyperlink"/>
                <w:rFonts w:ascii="Calibri" w:hAnsi="Calibri" w:cs="Calibri"/>
                <w:noProof/>
              </w:rPr>
              <w:t>Community Engagement/Affirmative Marketing/Outreach Plan</w:t>
            </w:r>
            <w:r w:rsidR="000F11D6">
              <w:rPr>
                <w:noProof/>
                <w:webHidden/>
              </w:rPr>
              <w:tab/>
            </w:r>
            <w:r w:rsidR="000F11D6">
              <w:rPr>
                <w:noProof/>
                <w:webHidden/>
              </w:rPr>
              <w:fldChar w:fldCharType="begin"/>
            </w:r>
            <w:r w:rsidR="000F11D6">
              <w:rPr>
                <w:noProof/>
                <w:webHidden/>
              </w:rPr>
              <w:instrText xml:space="preserve"> PAGEREF _Toc22628985 \h </w:instrText>
            </w:r>
            <w:r w:rsidR="000F11D6">
              <w:rPr>
                <w:noProof/>
                <w:webHidden/>
              </w:rPr>
            </w:r>
            <w:r w:rsidR="000F11D6">
              <w:rPr>
                <w:noProof/>
                <w:webHidden/>
              </w:rPr>
              <w:fldChar w:fldCharType="separate"/>
            </w:r>
            <w:r w:rsidR="000F11D6">
              <w:rPr>
                <w:noProof/>
                <w:webHidden/>
              </w:rPr>
              <w:t>10</w:t>
            </w:r>
            <w:r w:rsidR="000F11D6">
              <w:rPr>
                <w:noProof/>
                <w:webHidden/>
              </w:rPr>
              <w:fldChar w:fldCharType="end"/>
            </w:r>
          </w:hyperlink>
        </w:p>
        <w:p w14:paraId="72424CEF" w14:textId="3F204F56" w:rsidR="000F11D6" w:rsidRDefault="00FD76D6">
          <w:pPr>
            <w:pStyle w:val="TOC1"/>
            <w:rPr>
              <w:rFonts w:asciiTheme="minorHAnsi" w:eastAsiaTheme="minorEastAsia" w:hAnsiTheme="minorHAnsi" w:cstheme="minorBidi"/>
              <w:noProof/>
            </w:rPr>
          </w:pPr>
          <w:hyperlink w:anchor="_Toc22628986" w:history="1">
            <w:r w:rsidR="000F11D6" w:rsidRPr="00FC4C07">
              <w:rPr>
                <w:rStyle w:val="Hyperlink"/>
                <w:rFonts w:ascii="Calibri" w:hAnsi="Calibri" w:cs="Calibri"/>
                <w:noProof/>
              </w:rPr>
              <w:t>Procurement</w:t>
            </w:r>
            <w:r w:rsidR="000F11D6">
              <w:rPr>
                <w:noProof/>
                <w:webHidden/>
              </w:rPr>
              <w:tab/>
            </w:r>
            <w:r w:rsidR="000F11D6">
              <w:rPr>
                <w:noProof/>
                <w:webHidden/>
              </w:rPr>
              <w:fldChar w:fldCharType="begin"/>
            </w:r>
            <w:r w:rsidR="000F11D6">
              <w:rPr>
                <w:noProof/>
                <w:webHidden/>
              </w:rPr>
              <w:instrText xml:space="preserve"> PAGEREF _Toc22628986 \h </w:instrText>
            </w:r>
            <w:r w:rsidR="000F11D6">
              <w:rPr>
                <w:noProof/>
                <w:webHidden/>
              </w:rPr>
            </w:r>
            <w:r w:rsidR="000F11D6">
              <w:rPr>
                <w:noProof/>
                <w:webHidden/>
              </w:rPr>
              <w:fldChar w:fldCharType="separate"/>
            </w:r>
            <w:r w:rsidR="000F11D6">
              <w:rPr>
                <w:noProof/>
                <w:webHidden/>
              </w:rPr>
              <w:t>11</w:t>
            </w:r>
            <w:r w:rsidR="000F11D6">
              <w:rPr>
                <w:noProof/>
                <w:webHidden/>
              </w:rPr>
              <w:fldChar w:fldCharType="end"/>
            </w:r>
          </w:hyperlink>
        </w:p>
        <w:p w14:paraId="748E6D53" w14:textId="5B7CAF88" w:rsidR="000F11D6" w:rsidRDefault="00FD76D6">
          <w:pPr>
            <w:pStyle w:val="TOC1"/>
            <w:rPr>
              <w:rFonts w:asciiTheme="minorHAnsi" w:eastAsiaTheme="minorEastAsia" w:hAnsiTheme="minorHAnsi" w:cstheme="minorBidi"/>
              <w:noProof/>
            </w:rPr>
          </w:pPr>
          <w:hyperlink w:anchor="_Toc22628987" w:history="1">
            <w:r w:rsidR="000F11D6" w:rsidRPr="00FC4C07">
              <w:rPr>
                <w:rStyle w:val="Hyperlink"/>
                <w:rFonts w:ascii="Calibri" w:hAnsi="Calibri" w:cs="Calibri"/>
                <w:noProof/>
              </w:rPr>
              <w:t>Financial Management</w:t>
            </w:r>
            <w:r w:rsidR="000F11D6">
              <w:rPr>
                <w:noProof/>
                <w:webHidden/>
              </w:rPr>
              <w:tab/>
            </w:r>
            <w:r w:rsidR="000F11D6">
              <w:rPr>
                <w:noProof/>
                <w:webHidden/>
              </w:rPr>
              <w:fldChar w:fldCharType="begin"/>
            </w:r>
            <w:r w:rsidR="000F11D6">
              <w:rPr>
                <w:noProof/>
                <w:webHidden/>
              </w:rPr>
              <w:instrText xml:space="preserve"> PAGEREF _Toc22628987 \h </w:instrText>
            </w:r>
            <w:r w:rsidR="000F11D6">
              <w:rPr>
                <w:noProof/>
                <w:webHidden/>
              </w:rPr>
            </w:r>
            <w:r w:rsidR="000F11D6">
              <w:rPr>
                <w:noProof/>
                <w:webHidden/>
              </w:rPr>
              <w:fldChar w:fldCharType="separate"/>
            </w:r>
            <w:r w:rsidR="000F11D6">
              <w:rPr>
                <w:noProof/>
                <w:webHidden/>
              </w:rPr>
              <w:t>12</w:t>
            </w:r>
            <w:r w:rsidR="000F11D6">
              <w:rPr>
                <w:noProof/>
                <w:webHidden/>
              </w:rPr>
              <w:fldChar w:fldCharType="end"/>
            </w:r>
          </w:hyperlink>
        </w:p>
        <w:p w14:paraId="1704F6C6" w14:textId="36C10ED9" w:rsidR="000F11D6" w:rsidRDefault="00FD76D6">
          <w:pPr>
            <w:pStyle w:val="TOC2"/>
            <w:rPr>
              <w:rFonts w:asciiTheme="minorHAnsi" w:eastAsiaTheme="minorEastAsia" w:hAnsiTheme="minorHAnsi" w:cstheme="minorBidi"/>
              <w:noProof/>
            </w:rPr>
          </w:pPr>
          <w:hyperlink w:anchor="_Toc22628988" w:history="1">
            <w:r w:rsidR="000F11D6" w:rsidRPr="00FC4C07">
              <w:rPr>
                <w:rStyle w:val="Hyperlink"/>
                <w:noProof/>
              </w:rPr>
              <w:t>The City of Houston</w:t>
            </w:r>
            <w:r w:rsidR="000F11D6">
              <w:rPr>
                <w:noProof/>
                <w:webHidden/>
              </w:rPr>
              <w:tab/>
            </w:r>
            <w:r w:rsidR="000F11D6">
              <w:rPr>
                <w:noProof/>
                <w:webHidden/>
              </w:rPr>
              <w:fldChar w:fldCharType="begin"/>
            </w:r>
            <w:r w:rsidR="000F11D6">
              <w:rPr>
                <w:noProof/>
                <w:webHidden/>
              </w:rPr>
              <w:instrText xml:space="preserve"> PAGEREF _Toc22628988 \h </w:instrText>
            </w:r>
            <w:r w:rsidR="000F11D6">
              <w:rPr>
                <w:noProof/>
                <w:webHidden/>
              </w:rPr>
            </w:r>
            <w:r w:rsidR="000F11D6">
              <w:rPr>
                <w:noProof/>
                <w:webHidden/>
              </w:rPr>
              <w:fldChar w:fldCharType="separate"/>
            </w:r>
            <w:r w:rsidR="000F11D6">
              <w:rPr>
                <w:noProof/>
                <w:webHidden/>
              </w:rPr>
              <w:t>12</w:t>
            </w:r>
            <w:r w:rsidR="000F11D6">
              <w:rPr>
                <w:noProof/>
                <w:webHidden/>
              </w:rPr>
              <w:fldChar w:fldCharType="end"/>
            </w:r>
          </w:hyperlink>
        </w:p>
        <w:p w14:paraId="347BD9E1" w14:textId="0F0E8210" w:rsidR="000F11D6" w:rsidRDefault="00FD76D6">
          <w:pPr>
            <w:pStyle w:val="TOC1"/>
            <w:rPr>
              <w:rFonts w:asciiTheme="minorHAnsi" w:eastAsiaTheme="minorEastAsia" w:hAnsiTheme="minorHAnsi" w:cstheme="minorBidi"/>
              <w:noProof/>
            </w:rPr>
          </w:pPr>
          <w:hyperlink w:anchor="_Toc22628989" w:history="1">
            <w:r w:rsidR="000F11D6" w:rsidRPr="00FC4C07">
              <w:rPr>
                <w:rStyle w:val="Hyperlink"/>
                <w:rFonts w:ascii="Calibri" w:hAnsi="Calibri" w:cs="Calibri"/>
                <w:noProof/>
              </w:rPr>
              <w:t>Environmental</w:t>
            </w:r>
            <w:r w:rsidR="000F11D6">
              <w:rPr>
                <w:noProof/>
                <w:webHidden/>
              </w:rPr>
              <w:tab/>
            </w:r>
            <w:r w:rsidR="000F11D6">
              <w:rPr>
                <w:noProof/>
                <w:webHidden/>
              </w:rPr>
              <w:fldChar w:fldCharType="begin"/>
            </w:r>
            <w:r w:rsidR="000F11D6">
              <w:rPr>
                <w:noProof/>
                <w:webHidden/>
              </w:rPr>
              <w:instrText xml:space="preserve"> PAGEREF _Toc22628989 \h </w:instrText>
            </w:r>
            <w:r w:rsidR="000F11D6">
              <w:rPr>
                <w:noProof/>
                <w:webHidden/>
              </w:rPr>
            </w:r>
            <w:r w:rsidR="000F11D6">
              <w:rPr>
                <w:noProof/>
                <w:webHidden/>
              </w:rPr>
              <w:fldChar w:fldCharType="separate"/>
            </w:r>
            <w:r w:rsidR="000F11D6">
              <w:rPr>
                <w:noProof/>
                <w:webHidden/>
              </w:rPr>
              <w:t>13</w:t>
            </w:r>
            <w:r w:rsidR="000F11D6">
              <w:rPr>
                <w:noProof/>
                <w:webHidden/>
              </w:rPr>
              <w:fldChar w:fldCharType="end"/>
            </w:r>
          </w:hyperlink>
        </w:p>
        <w:p w14:paraId="0E625F50" w14:textId="3CE6A36E" w:rsidR="000F11D6" w:rsidRDefault="00FD76D6">
          <w:pPr>
            <w:pStyle w:val="TOC2"/>
            <w:rPr>
              <w:rFonts w:asciiTheme="minorHAnsi" w:eastAsiaTheme="minorEastAsia" w:hAnsiTheme="minorHAnsi" w:cstheme="minorBidi"/>
              <w:noProof/>
            </w:rPr>
          </w:pPr>
          <w:hyperlink w:anchor="_Toc22628990" w:history="1">
            <w:r w:rsidR="000F11D6" w:rsidRPr="00FC4C07">
              <w:rPr>
                <w:rStyle w:val="Hyperlink"/>
                <w:noProof/>
              </w:rPr>
              <w:t>Property Acquired Requirements</w:t>
            </w:r>
            <w:r w:rsidR="000F11D6">
              <w:rPr>
                <w:noProof/>
                <w:webHidden/>
              </w:rPr>
              <w:tab/>
            </w:r>
            <w:r w:rsidR="000F11D6">
              <w:rPr>
                <w:noProof/>
                <w:webHidden/>
              </w:rPr>
              <w:fldChar w:fldCharType="begin"/>
            </w:r>
            <w:r w:rsidR="000F11D6">
              <w:rPr>
                <w:noProof/>
                <w:webHidden/>
              </w:rPr>
              <w:instrText xml:space="preserve"> PAGEREF _Toc22628990 \h </w:instrText>
            </w:r>
            <w:r w:rsidR="000F11D6">
              <w:rPr>
                <w:noProof/>
                <w:webHidden/>
              </w:rPr>
            </w:r>
            <w:r w:rsidR="000F11D6">
              <w:rPr>
                <w:noProof/>
                <w:webHidden/>
              </w:rPr>
              <w:fldChar w:fldCharType="separate"/>
            </w:r>
            <w:r w:rsidR="000F11D6">
              <w:rPr>
                <w:noProof/>
                <w:webHidden/>
              </w:rPr>
              <w:t>14</w:t>
            </w:r>
            <w:r w:rsidR="000F11D6">
              <w:rPr>
                <w:noProof/>
                <w:webHidden/>
              </w:rPr>
              <w:fldChar w:fldCharType="end"/>
            </w:r>
          </w:hyperlink>
        </w:p>
        <w:p w14:paraId="6EEF39FB" w14:textId="211E4013" w:rsidR="000F11D6" w:rsidRDefault="00FD76D6">
          <w:pPr>
            <w:pStyle w:val="TOC1"/>
            <w:rPr>
              <w:rFonts w:asciiTheme="minorHAnsi" w:eastAsiaTheme="minorEastAsia" w:hAnsiTheme="minorHAnsi" w:cstheme="minorBidi"/>
              <w:noProof/>
            </w:rPr>
          </w:pPr>
          <w:hyperlink w:anchor="_Toc22628991" w:history="1">
            <w:r w:rsidR="000F11D6" w:rsidRPr="00FC4C07">
              <w:rPr>
                <w:rStyle w:val="Hyperlink"/>
                <w:rFonts w:ascii="Calibri" w:hAnsi="Calibri" w:cs="Calibri"/>
                <w:noProof/>
              </w:rPr>
              <w:t>Relocation</w:t>
            </w:r>
            <w:r w:rsidR="000F11D6">
              <w:rPr>
                <w:noProof/>
                <w:webHidden/>
              </w:rPr>
              <w:tab/>
            </w:r>
            <w:r w:rsidR="000F11D6">
              <w:rPr>
                <w:noProof/>
                <w:webHidden/>
              </w:rPr>
              <w:fldChar w:fldCharType="begin"/>
            </w:r>
            <w:r w:rsidR="000F11D6">
              <w:rPr>
                <w:noProof/>
                <w:webHidden/>
              </w:rPr>
              <w:instrText xml:space="preserve"> PAGEREF _Toc22628991 \h </w:instrText>
            </w:r>
            <w:r w:rsidR="000F11D6">
              <w:rPr>
                <w:noProof/>
                <w:webHidden/>
              </w:rPr>
            </w:r>
            <w:r w:rsidR="000F11D6">
              <w:rPr>
                <w:noProof/>
                <w:webHidden/>
              </w:rPr>
              <w:fldChar w:fldCharType="separate"/>
            </w:r>
            <w:r w:rsidR="000F11D6">
              <w:rPr>
                <w:noProof/>
                <w:webHidden/>
              </w:rPr>
              <w:t>14</w:t>
            </w:r>
            <w:r w:rsidR="000F11D6">
              <w:rPr>
                <w:noProof/>
                <w:webHidden/>
              </w:rPr>
              <w:fldChar w:fldCharType="end"/>
            </w:r>
          </w:hyperlink>
        </w:p>
        <w:p w14:paraId="6A903BAE" w14:textId="38496379" w:rsidR="000F11D6" w:rsidRDefault="00FD76D6">
          <w:pPr>
            <w:pStyle w:val="TOC2"/>
            <w:rPr>
              <w:rFonts w:asciiTheme="minorHAnsi" w:eastAsiaTheme="minorEastAsia" w:hAnsiTheme="minorHAnsi" w:cstheme="minorBidi"/>
              <w:noProof/>
            </w:rPr>
          </w:pPr>
          <w:hyperlink w:anchor="_Toc22628992" w:history="1">
            <w:r w:rsidR="000F11D6" w:rsidRPr="00FC4C07">
              <w:rPr>
                <w:rStyle w:val="Hyperlink"/>
                <w:noProof/>
              </w:rPr>
              <w:t>Moving Costs</w:t>
            </w:r>
            <w:r w:rsidR="000F11D6">
              <w:rPr>
                <w:noProof/>
                <w:webHidden/>
              </w:rPr>
              <w:tab/>
            </w:r>
            <w:r w:rsidR="000F11D6">
              <w:rPr>
                <w:noProof/>
                <w:webHidden/>
              </w:rPr>
              <w:fldChar w:fldCharType="begin"/>
            </w:r>
            <w:r w:rsidR="000F11D6">
              <w:rPr>
                <w:noProof/>
                <w:webHidden/>
              </w:rPr>
              <w:instrText xml:space="preserve"> PAGEREF _Toc22628992 \h </w:instrText>
            </w:r>
            <w:r w:rsidR="000F11D6">
              <w:rPr>
                <w:noProof/>
                <w:webHidden/>
              </w:rPr>
            </w:r>
            <w:r w:rsidR="000F11D6">
              <w:rPr>
                <w:noProof/>
                <w:webHidden/>
              </w:rPr>
              <w:fldChar w:fldCharType="separate"/>
            </w:r>
            <w:r w:rsidR="000F11D6">
              <w:rPr>
                <w:noProof/>
                <w:webHidden/>
              </w:rPr>
              <w:t>15</w:t>
            </w:r>
            <w:r w:rsidR="000F11D6">
              <w:rPr>
                <w:noProof/>
                <w:webHidden/>
              </w:rPr>
              <w:fldChar w:fldCharType="end"/>
            </w:r>
          </w:hyperlink>
        </w:p>
        <w:p w14:paraId="3A4E78D3" w14:textId="54EDF4E3" w:rsidR="000F11D6" w:rsidRDefault="00FD76D6">
          <w:pPr>
            <w:pStyle w:val="TOC1"/>
            <w:rPr>
              <w:rFonts w:asciiTheme="minorHAnsi" w:eastAsiaTheme="minorEastAsia" w:hAnsiTheme="minorHAnsi" w:cstheme="minorBidi"/>
              <w:noProof/>
            </w:rPr>
          </w:pPr>
          <w:hyperlink w:anchor="_Toc22628993" w:history="1">
            <w:r w:rsidR="000F11D6" w:rsidRPr="00FC4C07">
              <w:rPr>
                <w:rStyle w:val="Hyperlink"/>
                <w:rFonts w:ascii="Calibri" w:hAnsi="Calibri" w:cs="Calibri"/>
                <w:noProof/>
              </w:rPr>
              <w:t>Cross Cutting Federal Regulations</w:t>
            </w:r>
            <w:r w:rsidR="000F11D6">
              <w:rPr>
                <w:noProof/>
                <w:webHidden/>
              </w:rPr>
              <w:tab/>
            </w:r>
            <w:r w:rsidR="000F11D6">
              <w:rPr>
                <w:noProof/>
                <w:webHidden/>
              </w:rPr>
              <w:fldChar w:fldCharType="begin"/>
            </w:r>
            <w:r w:rsidR="000F11D6">
              <w:rPr>
                <w:noProof/>
                <w:webHidden/>
              </w:rPr>
              <w:instrText xml:space="preserve"> PAGEREF _Toc22628993 \h </w:instrText>
            </w:r>
            <w:r w:rsidR="000F11D6">
              <w:rPr>
                <w:noProof/>
                <w:webHidden/>
              </w:rPr>
            </w:r>
            <w:r w:rsidR="000F11D6">
              <w:rPr>
                <w:noProof/>
                <w:webHidden/>
              </w:rPr>
              <w:fldChar w:fldCharType="separate"/>
            </w:r>
            <w:r w:rsidR="000F11D6">
              <w:rPr>
                <w:noProof/>
                <w:webHidden/>
              </w:rPr>
              <w:t>15</w:t>
            </w:r>
            <w:r w:rsidR="000F11D6">
              <w:rPr>
                <w:noProof/>
                <w:webHidden/>
              </w:rPr>
              <w:fldChar w:fldCharType="end"/>
            </w:r>
          </w:hyperlink>
        </w:p>
        <w:p w14:paraId="6F7DFEBB" w14:textId="1E326FAF" w:rsidR="000F11D6" w:rsidRDefault="00FD76D6">
          <w:pPr>
            <w:pStyle w:val="TOC2"/>
            <w:rPr>
              <w:rFonts w:asciiTheme="minorHAnsi" w:eastAsiaTheme="minorEastAsia" w:hAnsiTheme="minorHAnsi" w:cstheme="minorBidi"/>
              <w:noProof/>
            </w:rPr>
          </w:pPr>
          <w:hyperlink w:anchor="_Toc22628994" w:history="1">
            <w:r w:rsidR="000F11D6" w:rsidRPr="00FC4C07">
              <w:rPr>
                <w:rStyle w:val="Hyperlink"/>
                <w:noProof/>
              </w:rPr>
              <w:t>Davis-Bacon Labor Standards</w:t>
            </w:r>
            <w:r w:rsidR="000F11D6">
              <w:rPr>
                <w:noProof/>
                <w:webHidden/>
              </w:rPr>
              <w:tab/>
            </w:r>
            <w:r w:rsidR="000F11D6">
              <w:rPr>
                <w:noProof/>
                <w:webHidden/>
              </w:rPr>
              <w:fldChar w:fldCharType="begin"/>
            </w:r>
            <w:r w:rsidR="000F11D6">
              <w:rPr>
                <w:noProof/>
                <w:webHidden/>
              </w:rPr>
              <w:instrText xml:space="preserve"> PAGEREF _Toc22628994 \h </w:instrText>
            </w:r>
            <w:r w:rsidR="000F11D6">
              <w:rPr>
                <w:noProof/>
                <w:webHidden/>
              </w:rPr>
            </w:r>
            <w:r w:rsidR="000F11D6">
              <w:rPr>
                <w:noProof/>
                <w:webHidden/>
              </w:rPr>
              <w:fldChar w:fldCharType="separate"/>
            </w:r>
            <w:r w:rsidR="000F11D6">
              <w:rPr>
                <w:noProof/>
                <w:webHidden/>
              </w:rPr>
              <w:t>15</w:t>
            </w:r>
            <w:r w:rsidR="000F11D6">
              <w:rPr>
                <w:noProof/>
                <w:webHidden/>
              </w:rPr>
              <w:fldChar w:fldCharType="end"/>
            </w:r>
          </w:hyperlink>
        </w:p>
        <w:p w14:paraId="4FA24218" w14:textId="06CC679F" w:rsidR="000F11D6" w:rsidRDefault="00FD76D6">
          <w:pPr>
            <w:pStyle w:val="TOC2"/>
            <w:rPr>
              <w:rFonts w:asciiTheme="minorHAnsi" w:eastAsiaTheme="minorEastAsia" w:hAnsiTheme="minorHAnsi" w:cstheme="minorBidi"/>
              <w:noProof/>
            </w:rPr>
          </w:pPr>
          <w:hyperlink w:anchor="_Toc22628995" w:history="1">
            <w:r w:rsidR="000F11D6" w:rsidRPr="00FC4C07">
              <w:rPr>
                <w:rStyle w:val="Hyperlink"/>
                <w:noProof/>
              </w:rPr>
              <w:t>Equal Employment Opportunity</w:t>
            </w:r>
            <w:r w:rsidR="000F11D6">
              <w:rPr>
                <w:noProof/>
                <w:webHidden/>
              </w:rPr>
              <w:tab/>
            </w:r>
            <w:r w:rsidR="000F11D6">
              <w:rPr>
                <w:noProof/>
                <w:webHidden/>
              </w:rPr>
              <w:fldChar w:fldCharType="begin"/>
            </w:r>
            <w:r w:rsidR="000F11D6">
              <w:rPr>
                <w:noProof/>
                <w:webHidden/>
              </w:rPr>
              <w:instrText xml:space="preserve"> PAGEREF _Toc22628995 \h </w:instrText>
            </w:r>
            <w:r w:rsidR="000F11D6">
              <w:rPr>
                <w:noProof/>
                <w:webHidden/>
              </w:rPr>
            </w:r>
            <w:r w:rsidR="000F11D6">
              <w:rPr>
                <w:noProof/>
                <w:webHidden/>
              </w:rPr>
              <w:fldChar w:fldCharType="separate"/>
            </w:r>
            <w:r w:rsidR="000F11D6">
              <w:rPr>
                <w:noProof/>
                <w:webHidden/>
              </w:rPr>
              <w:t>15</w:t>
            </w:r>
            <w:r w:rsidR="000F11D6">
              <w:rPr>
                <w:noProof/>
                <w:webHidden/>
              </w:rPr>
              <w:fldChar w:fldCharType="end"/>
            </w:r>
          </w:hyperlink>
        </w:p>
        <w:p w14:paraId="1ECE7DCB" w14:textId="2455AAFA" w:rsidR="000F11D6" w:rsidRDefault="00FD76D6">
          <w:pPr>
            <w:pStyle w:val="TOC2"/>
            <w:rPr>
              <w:rFonts w:asciiTheme="minorHAnsi" w:eastAsiaTheme="minorEastAsia" w:hAnsiTheme="minorHAnsi" w:cstheme="minorBidi"/>
              <w:noProof/>
            </w:rPr>
          </w:pPr>
          <w:hyperlink w:anchor="_Toc22628996" w:history="1">
            <w:r w:rsidR="000F11D6" w:rsidRPr="00FC4C07">
              <w:rPr>
                <w:rStyle w:val="Hyperlink"/>
                <w:noProof/>
              </w:rPr>
              <w:t>Fair Housing</w:t>
            </w:r>
            <w:r w:rsidR="000F11D6">
              <w:rPr>
                <w:noProof/>
                <w:webHidden/>
              </w:rPr>
              <w:tab/>
            </w:r>
            <w:r w:rsidR="000F11D6">
              <w:rPr>
                <w:noProof/>
                <w:webHidden/>
              </w:rPr>
              <w:fldChar w:fldCharType="begin"/>
            </w:r>
            <w:r w:rsidR="000F11D6">
              <w:rPr>
                <w:noProof/>
                <w:webHidden/>
              </w:rPr>
              <w:instrText xml:space="preserve"> PAGEREF _Toc22628996 \h </w:instrText>
            </w:r>
            <w:r w:rsidR="000F11D6">
              <w:rPr>
                <w:noProof/>
                <w:webHidden/>
              </w:rPr>
            </w:r>
            <w:r w:rsidR="000F11D6">
              <w:rPr>
                <w:noProof/>
                <w:webHidden/>
              </w:rPr>
              <w:fldChar w:fldCharType="separate"/>
            </w:r>
            <w:r w:rsidR="000F11D6">
              <w:rPr>
                <w:noProof/>
                <w:webHidden/>
              </w:rPr>
              <w:t>15</w:t>
            </w:r>
            <w:r w:rsidR="000F11D6">
              <w:rPr>
                <w:noProof/>
                <w:webHidden/>
              </w:rPr>
              <w:fldChar w:fldCharType="end"/>
            </w:r>
          </w:hyperlink>
        </w:p>
        <w:p w14:paraId="72BC9DE0" w14:textId="6380E2E9" w:rsidR="000F11D6" w:rsidRDefault="00FD76D6">
          <w:pPr>
            <w:pStyle w:val="TOC2"/>
            <w:rPr>
              <w:rFonts w:asciiTheme="minorHAnsi" w:eastAsiaTheme="minorEastAsia" w:hAnsiTheme="minorHAnsi" w:cstheme="minorBidi"/>
              <w:noProof/>
            </w:rPr>
          </w:pPr>
          <w:hyperlink w:anchor="_Toc22628997" w:history="1">
            <w:r w:rsidR="000F11D6" w:rsidRPr="00FC4C07">
              <w:rPr>
                <w:rStyle w:val="Hyperlink"/>
                <w:noProof/>
              </w:rPr>
              <w:t>Fair Labor Standards Act of 1938, as Amended</w:t>
            </w:r>
            <w:r w:rsidR="000F11D6">
              <w:rPr>
                <w:noProof/>
                <w:webHidden/>
              </w:rPr>
              <w:tab/>
            </w:r>
            <w:r w:rsidR="000F11D6">
              <w:rPr>
                <w:noProof/>
                <w:webHidden/>
              </w:rPr>
              <w:fldChar w:fldCharType="begin"/>
            </w:r>
            <w:r w:rsidR="000F11D6">
              <w:rPr>
                <w:noProof/>
                <w:webHidden/>
              </w:rPr>
              <w:instrText xml:space="preserve"> PAGEREF _Toc22628997 \h </w:instrText>
            </w:r>
            <w:r w:rsidR="000F11D6">
              <w:rPr>
                <w:noProof/>
                <w:webHidden/>
              </w:rPr>
            </w:r>
            <w:r w:rsidR="000F11D6">
              <w:rPr>
                <w:noProof/>
                <w:webHidden/>
              </w:rPr>
              <w:fldChar w:fldCharType="separate"/>
            </w:r>
            <w:r w:rsidR="000F11D6">
              <w:rPr>
                <w:noProof/>
                <w:webHidden/>
              </w:rPr>
              <w:t>16</w:t>
            </w:r>
            <w:r w:rsidR="000F11D6">
              <w:rPr>
                <w:noProof/>
                <w:webHidden/>
              </w:rPr>
              <w:fldChar w:fldCharType="end"/>
            </w:r>
          </w:hyperlink>
        </w:p>
        <w:p w14:paraId="49017F01" w14:textId="00638D7F" w:rsidR="000F11D6" w:rsidRDefault="00FD76D6">
          <w:pPr>
            <w:pStyle w:val="TOC2"/>
            <w:rPr>
              <w:rFonts w:asciiTheme="minorHAnsi" w:eastAsiaTheme="minorEastAsia" w:hAnsiTheme="minorHAnsi" w:cstheme="minorBidi"/>
              <w:noProof/>
            </w:rPr>
          </w:pPr>
          <w:hyperlink w:anchor="_Toc22628998" w:history="1">
            <w:r w:rsidR="000F11D6" w:rsidRPr="00FC4C07">
              <w:rPr>
                <w:rStyle w:val="Hyperlink"/>
                <w:noProof/>
              </w:rPr>
              <w:t>Limited English Proficiency</w:t>
            </w:r>
            <w:r w:rsidR="000F11D6">
              <w:rPr>
                <w:noProof/>
                <w:webHidden/>
              </w:rPr>
              <w:tab/>
            </w:r>
            <w:r w:rsidR="000F11D6">
              <w:rPr>
                <w:noProof/>
                <w:webHidden/>
              </w:rPr>
              <w:fldChar w:fldCharType="begin"/>
            </w:r>
            <w:r w:rsidR="000F11D6">
              <w:rPr>
                <w:noProof/>
                <w:webHidden/>
              </w:rPr>
              <w:instrText xml:space="preserve"> PAGEREF _Toc22628998 \h </w:instrText>
            </w:r>
            <w:r w:rsidR="000F11D6">
              <w:rPr>
                <w:noProof/>
                <w:webHidden/>
              </w:rPr>
            </w:r>
            <w:r w:rsidR="000F11D6">
              <w:rPr>
                <w:noProof/>
                <w:webHidden/>
              </w:rPr>
              <w:fldChar w:fldCharType="separate"/>
            </w:r>
            <w:r w:rsidR="000F11D6">
              <w:rPr>
                <w:noProof/>
                <w:webHidden/>
              </w:rPr>
              <w:t>16</w:t>
            </w:r>
            <w:r w:rsidR="000F11D6">
              <w:rPr>
                <w:noProof/>
                <w:webHidden/>
              </w:rPr>
              <w:fldChar w:fldCharType="end"/>
            </w:r>
          </w:hyperlink>
        </w:p>
        <w:p w14:paraId="5972211A" w14:textId="6C61C1DE" w:rsidR="000F11D6" w:rsidRDefault="00FD76D6">
          <w:pPr>
            <w:pStyle w:val="TOC2"/>
            <w:rPr>
              <w:rFonts w:asciiTheme="minorHAnsi" w:eastAsiaTheme="minorEastAsia" w:hAnsiTheme="minorHAnsi" w:cstheme="minorBidi"/>
              <w:noProof/>
            </w:rPr>
          </w:pPr>
          <w:hyperlink w:anchor="_Toc22628999" w:history="1">
            <w:r w:rsidR="000F11D6" w:rsidRPr="00FC4C07">
              <w:rPr>
                <w:rStyle w:val="Hyperlink"/>
                <w:noProof/>
              </w:rPr>
              <w:t>Minority- and/or Woman-Owned Business Enterprises</w:t>
            </w:r>
            <w:r w:rsidR="000F11D6">
              <w:rPr>
                <w:noProof/>
                <w:webHidden/>
              </w:rPr>
              <w:tab/>
            </w:r>
            <w:r w:rsidR="000F11D6">
              <w:rPr>
                <w:noProof/>
                <w:webHidden/>
              </w:rPr>
              <w:fldChar w:fldCharType="begin"/>
            </w:r>
            <w:r w:rsidR="000F11D6">
              <w:rPr>
                <w:noProof/>
                <w:webHidden/>
              </w:rPr>
              <w:instrText xml:space="preserve"> PAGEREF _Toc22628999 \h </w:instrText>
            </w:r>
            <w:r w:rsidR="000F11D6">
              <w:rPr>
                <w:noProof/>
                <w:webHidden/>
              </w:rPr>
            </w:r>
            <w:r w:rsidR="000F11D6">
              <w:rPr>
                <w:noProof/>
                <w:webHidden/>
              </w:rPr>
              <w:fldChar w:fldCharType="separate"/>
            </w:r>
            <w:r w:rsidR="000F11D6">
              <w:rPr>
                <w:noProof/>
                <w:webHidden/>
              </w:rPr>
              <w:t>16</w:t>
            </w:r>
            <w:r w:rsidR="000F11D6">
              <w:rPr>
                <w:noProof/>
                <w:webHidden/>
              </w:rPr>
              <w:fldChar w:fldCharType="end"/>
            </w:r>
          </w:hyperlink>
        </w:p>
        <w:p w14:paraId="0A6CD730" w14:textId="7FE3165D" w:rsidR="000F11D6" w:rsidRDefault="00FD76D6">
          <w:pPr>
            <w:pStyle w:val="TOC2"/>
            <w:rPr>
              <w:rFonts w:asciiTheme="minorHAnsi" w:eastAsiaTheme="minorEastAsia" w:hAnsiTheme="minorHAnsi" w:cstheme="minorBidi"/>
              <w:noProof/>
            </w:rPr>
          </w:pPr>
          <w:hyperlink w:anchor="_Toc22629000" w:history="1">
            <w:r w:rsidR="000F11D6" w:rsidRPr="00FC4C07">
              <w:rPr>
                <w:rStyle w:val="Hyperlink"/>
                <w:noProof/>
              </w:rPr>
              <w:t>Section 3</w:t>
            </w:r>
            <w:r w:rsidR="000F11D6">
              <w:rPr>
                <w:noProof/>
                <w:webHidden/>
              </w:rPr>
              <w:tab/>
            </w:r>
            <w:r w:rsidR="000F11D6">
              <w:rPr>
                <w:noProof/>
                <w:webHidden/>
              </w:rPr>
              <w:fldChar w:fldCharType="begin"/>
            </w:r>
            <w:r w:rsidR="000F11D6">
              <w:rPr>
                <w:noProof/>
                <w:webHidden/>
              </w:rPr>
              <w:instrText xml:space="preserve"> PAGEREF _Toc22629000 \h </w:instrText>
            </w:r>
            <w:r w:rsidR="000F11D6">
              <w:rPr>
                <w:noProof/>
                <w:webHidden/>
              </w:rPr>
            </w:r>
            <w:r w:rsidR="000F11D6">
              <w:rPr>
                <w:noProof/>
                <w:webHidden/>
              </w:rPr>
              <w:fldChar w:fldCharType="separate"/>
            </w:r>
            <w:r w:rsidR="000F11D6">
              <w:rPr>
                <w:noProof/>
                <w:webHidden/>
              </w:rPr>
              <w:t>17</w:t>
            </w:r>
            <w:r w:rsidR="000F11D6">
              <w:rPr>
                <w:noProof/>
                <w:webHidden/>
              </w:rPr>
              <w:fldChar w:fldCharType="end"/>
            </w:r>
          </w:hyperlink>
        </w:p>
        <w:p w14:paraId="0C87FFC4" w14:textId="13ECD311" w:rsidR="000F11D6" w:rsidRDefault="00FD76D6">
          <w:pPr>
            <w:pStyle w:val="TOC2"/>
            <w:rPr>
              <w:rFonts w:asciiTheme="minorHAnsi" w:eastAsiaTheme="minorEastAsia" w:hAnsiTheme="minorHAnsi" w:cstheme="minorBidi"/>
              <w:noProof/>
            </w:rPr>
          </w:pPr>
          <w:hyperlink w:anchor="_Toc22629001" w:history="1">
            <w:r w:rsidR="000F11D6" w:rsidRPr="00FC4C07">
              <w:rPr>
                <w:rStyle w:val="Hyperlink"/>
                <w:noProof/>
              </w:rPr>
              <w:t>Residential Anti-Displacement</w:t>
            </w:r>
            <w:r w:rsidR="000F11D6">
              <w:rPr>
                <w:noProof/>
                <w:webHidden/>
              </w:rPr>
              <w:tab/>
            </w:r>
            <w:r w:rsidR="000F11D6">
              <w:rPr>
                <w:noProof/>
                <w:webHidden/>
              </w:rPr>
              <w:fldChar w:fldCharType="begin"/>
            </w:r>
            <w:r w:rsidR="000F11D6">
              <w:rPr>
                <w:noProof/>
                <w:webHidden/>
              </w:rPr>
              <w:instrText xml:space="preserve"> PAGEREF _Toc22629001 \h </w:instrText>
            </w:r>
            <w:r w:rsidR="000F11D6">
              <w:rPr>
                <w:noProof/>
                <w:webHidden/>
              </w:rPr>
            </w:r>
            <w:r w:rsidR="000F11D6">
              <w:rPr>
                <w:noProof/>
                <w:webHidden/>
              </w:rPr>
              <w:fldChar w:fldCharType="separate"/>
            </w:r>
            <w:r w:rsidR="000F11D6">
              <w:rPr>
                <w:noProof/>
                <w:webHidden/>
              </w:rPr>
              <w:t>17</w:t>
            </w:r>
            <w:r w:rsidR="000F11D6">
              <w:rPr>
                <w:noProof/>
                <w:webHidden/>
              </w:rPr>
              <w:fldChar w:fldCharType="end"/>
            </w:r>
          </w:hyperlink>
        </w:p>
        <w:p w14:paraId="586BC5F0" w14:textId="18B0916B" w:rsidR="000F11D6" w:rsidRDefault="00FD76D6">
          <w:pPr>
            <w:pStyle w:val="TOC2"/>
            <w:rPr>
              <w:rFonts w:asciiTheme="minorHAnsi" w:eastAsiaTheme="minorEastAsia" w:hAnsiTheme="minorHAnsi" w:cstheme="minorBidi"/>
              <w:noProof/>
            </w:rPr>
          </w:pPr>
          <w:hyperlink w:anchor="_Toc22629002" w:history="1">
            <w:r w:rsidR="000F11D6" w:rsidRPr="00FC4C07">
              <w:rPr>
                <w:rStyle w:val="Hyperlink"/>
                <w:noProof/>
              </w:rPr>
              <w:t>Uniform Relocation Act and Real Property Acquisition</w:t>
            </w:r>
            <w:r w:rsidR="000F11D6">
              <w:rPr>
                <w:noProof/>
                <w:webHidden/>
              </w:rPr>
              <w:tab/>
            </w:r>
            <w:r w:rsidR="000F11D6">
              <w:rPr>
                <w:noProof/>
                <w:webHidden/>
              </w:rPr>
              <w:fldChar w:fldCharType="begin"/>
            </w:r>
            <w:r w:rsidR="000F11D6">
              <w:rPr>
                <w:noProof/>
                <w:webHidden/>
              </w:rPr>
              <w:instrText xml:space="preserve"> PAGEREF _Toc22629002 \h </w:instrText>
            </w:r>
            <w:r w:rsidR="000F11D6">
              <w:rPr>
                <w:noProof/>
                <w:webHidden/>
              </w:rPr>
            </w:r>
            <w:r w:rsidR="000F11D6">
              <w:rPr>
                <w:noProof/>
                <w:webHidden/>
              </w:rPr>
              <w:fldChar w:fldCharType="separate"/>
            </w:r>
            <w:r w:rsidR="000F11D6">
              <w:rPr>
                <w:noProof/>
                <w:webHidden/>
              </w:rPr>
              <w:t>17</w:t>
            </w:r>
            <w:r w:rsidR="000F11D6">
              <w:rPr>
                <w:noProof/>
                <w:webHidden/>
              </w:rPr>
              <w:fldChar w:fldCharType="end"/>
            </w:r>
          </w:hyperlink>
        </w:p>
        <w:p w14:paraId="399569D2" w14:textId="5F032813" w:rsidR="000F11D6" w:rsidRDefault="00FD76D6">
          <w:pPr>
            <w:pStyle w:val="TOC2"/>
            <w:rPr>
              <w:rFonts w:asciiTheme="minorHAnsi" w:eastAsiaTheme="minorEastAsia" w:hAnsiTheme="minorHAnsi" w:cstheme="minorBidi"/>
              <w:noProof/>
            </w:rPr>
          </w:pPr>
          <w:hyperlink w:anchor="_Toc22629003" w:history="1">
            <w:r w:rsidR="000F11D6" w:rsidRPr="00FC4C07">
              <w:rPr>
                <w:rStyle w:val="Hyperlink"/>
                <w:noProof/>
              </w:rPr>
              <w:t>Real Property</w:t>
            </w:r>
            <w:r w:rsidR="000F11D6">
              <w:rPr>
                <w:noProof/>
                <w:webHidden/>
              </w:rPr>
              <w:tab/>
            </w:r>
            <w:r w:rsidR="000F11D6">
              <w:rPr>
                <w:noProof/>
                <w:webHidden/>
              </w:rPr>
              <w:fldChar w:fldCharType="begin"/>
            </w:r>
            <w:r w:rsidR="000F11D6">
              <w:rPr>
                <w:noProof/>
                <w:webHidden/>
              </w:rPr>
              <w:instrText xml:space="preserve"> PAGEREF _Toc22629003 \h </w:instrText>
            </w:r>
            <w:r w:rsidR="000F11D6">
              <w:rPr>
                <w:noProof/>
                <w:webHidden/>
              </w:rPr>
            </w:r>
            <w:r w:rsidR="000F11D6">
              <w:rPr>
                <w:noProof/>
                <w:webHidden/>
              </w:rPr>
              <w:fldChar w:fldCharType="separate"/>
            </w:r>
            <w:r w:rsidR="000F11D6">
              <w:rPr>
                <w:noProof/>
                <w:webHidden/>
              </w:rPr>
              <w:t>17</w:t>
            </w:r>
            <w:r w:rsidR="000F11D6">
              <w:rPr>
                <w:noProof/>
                <w:webHidden/>
              </w:rPr>
              <w:fldChar w:fldCharType="end"/>
            </w:r>
          </w:hyperlink>
        </w:p>
        <w:p w14:paraId="34096AC4" w14:textId="2C83E7A9" w:rsidR="000F11D6" w:rsidRDefault="00FD76D6">
          <w:pPr>
            <w:pStyle w:val="TOC2"/>
            <w:rPr>
              <w:rFonts w:asciiTheme="minorHAnsi" w:eastAsiaTheme="minorEastAsia" w:hAnsiTheme="minorHAnsi" w:cstheme="minorBidi"/>
              <w:noProof/>
            </w:rPr>
          </w:pPr>
          <w:hyperlink w:anchor="_Toc22629004" w:history="1">
            <w:r w:rsidR="000F11D6" w:rsidRPr="00FC4C07">
              <w:rPr>
                <w:rStyle w:val="Hyperlink"/>
                <w:noProof/>
              </w:rPr>
              <w:t>Insurance and Property Management</w:t>
            </w:r>
            <w:r w:rsidR="000F11D6">
              <w:rPr>
                <w:noProof/>
                <w:webHidden/>
              </w:rPr>
              <w:tab/>
            </w:r>
            <w:r w:rsidR="000F11D6">
              <w:rPr>
                <w:noProof/>
                <w:webHidden/>
              </w:rPr>
              <w:fldChar w:fldCharType="begin"/>
            </w:r>
            <w:r w:rsidR="000F11D6">
              <w:rPr>
                <w:noProof/>
                <w:webHidden/>
              </w:rPr>
              <w:instrText xml:space="preserve"> PAGEREF _Toc22629004 \h </w:instrText>
            </w:r>
            <w:r w:rsidR="000F11D6">
              <w:rPr>
                <w:noProof/>
                <w:webHidden/>
              </w:rPr>
            </w:r>
            <w:r w:rsidR="000F11D6">
              <w:rPr>
                <w:noProof/>
                <w:webHidden/>
              </w:rPr>
              <w:fldChar w:fldCharType="separate"/>
            </w:r>
            <w:r w:rsidR="000F11D6">
              <w:rPr>
                <w:noProof/>
                <w:webHidden/>
              </w:rPr>
              <w:t>18</w:t>
            </w:r>
            <w:r w:rsidR="000F11D6">
              <w:rPr>
                <w:noProof/>
                <w:webHidden/>
              </w:rPr>
              <w:fldChar w:fldCharType="end"/>
            </w:r>
          </w:hyperlink>
        </w:p>
        <w:p w14:paraId="6851B3FF" w14:textId="21CF46BD" w:rsidR="000F11D6" w:rsidRDefault="00FD76D6">
          <w:pPr>
            <w:pStyle w:val="TOC2"/>
            <w:rPr>
              <w:rFonts w:asciiTheme="minorHAnsi" w:eastAsiaTheme="minorEastAsia" w:hAnsiTheme="minorHAnsi" w:cstheme="minorBidi"/>
              <w:noProof/>
            </w:rPr>
          </w:pPr>
          <w:hyperlink w:anchor="_Toc22629005" w:history="1">
            <w:r w:rsidR="000F11D6" w:rsidRPr="00FC4C07">
              <w:rPr>
                <w:rStyle w:val="Hyperlink"/>
                <w:noProof/>
              </w:rPr>
              <w:t>Record Keeping, Retention and File Management</w:t>
            </w:r>
            <w:r w:rsidR="000F11D6">
              <w:rPr>
                <w:noProof/>
                <w:webHidden/>
              </w:rPr>
              <w:tab/>
            </w:r>
            <w:r w:rsidR="000F11D6">
              <w:rPr>
                <w:noProof/>
                <w:webHidden/>
              </w:rPr>
              <w:fldChar w:fldCharType="begin"/>
            </w:r>
            <w:r w:rsidR="000F11D6">
              <w:rPr>
                <w:noProof/>
                <w:webHidden/>
              </w:rPr>
              <w:instrText xml:space="preserve"> PAGEREF _Toc22629005 \h </w:instrText>
            </w:r>
            <w:r w:rsidR="000F11D6">
              <w:rPr>
                <w:noProof/>
                <w:webHidden/>
              </w:rPr>
            </w:r>
            <w:r w:rsidR="000F11D6">
              <w:rPr>
                <w:noProof/>
                <w:webHidden/>
              </w:rPr>
              <w:fldChar w:fldCharType="separate"/>
            </w:r>
            <w:r w:rsidR="000F11D6">
              <w:rPr>
                <w:noProof/>
                <w:webHidden/>
              </w:rPr>
              <w:t>18</w:t>
            </w:r>
            <w:r w:rsidR="000F11D6">
              <w:rPr>
                <w:noProof/>
                <w:webHidden/>
              </w:rPr>
              <w:fldChar w:fldCharType="end"/>
            </w:r>
          </w:hyperlink>
        </w:p>
        <w:p w14:paraId="217332D4" w14:textId="73A93DF9" w:rsidR="000F11D6" w:rsidRDefault="00FD76D6">
          <w:pPr>
            <w:pStyle w:val="TOC2"/>
            <w:rPr>
              <w:rFonts w:asciiTheme="minorHAnsi" w:eastAsiaTheme="minorEastAsia" w:hAnsiTheme="minorHAnsi" w:cstheme="minorBidi"/>
              <w:noProof/>
            </w:rPr>
          </w:pPr>
          <w:hyperlink w:anchor="_Toc22629006" w:history="1">
            <w:r w:rsidR="000F11D6" w:rsidRPr="00FC4C07">
              <w:rPr>
                <w:rStyle w:val="Hyperlink"/>
                <w:noProof/>
              </w:rPr>
              <w:t>Record Retention</w:t>
            </w:r>
            <w:r w:rsidR="000F11D6">
              <w:rPr>
                <w:noProof/>
                <w:webHidden/>
              </w:rPr>
              <w:tab/>
            </w:r>
            <w:r w:rsidR="000F11D6">
              <w:rPr>
                <w:noProof/>
                <w:webHidden/>
              </w:rPr>
              <w:fldChar w:fldCharType="begin"/>
            </w:r>
            <w:r w:rsidR="000F11D6">
              <w:rPr>
                <w:noProof/>
                <w:webHidden/>
              </w:rPr>
              <w:instrText xml:space="preserve"> PAGEREF _Toc22629006 \h </w:instrText>
            </w:r>
            <w:r w:rsidR="000F11D6">
              <w:rPr>
                <w:noProof/>
                <w:webHidden/>
              </w:rPr>
            </w:r>
            <w:r w:rsidR="000F11D6">
              <w:rPr>
                <w:noProof/>
                <w:webHidden/>
              </w:rPr>
              <w:fldChar w:fldCharType="separate"/>
            </w:r>
            <w:r w:rsidR="000F11D6">
              <w:rPr>
                <w:noProof/>
                <w:webHidden/>
              </w:rPr>
              <w:t>18</w:t>
            </w:r>
            <w:r w:rsidR="000F11D6">
              <w:rPr>
                <w:noProof/>
                <w:webHidden/>
              </w:rPr>
              <w:fldChar w:fldCharType="end"/>
            </w:r>
          </w:hyperlink>
        </w:p>
        <w:p w14:paraId="5B71A5C9" w14:textId="19510590" w:rsidR="000F11D6" w:rsidRDefault="00FD76D6">
          <w:pPr>
            <w:pStyle w:val="TOC2"/>
            <w:rPr>
              <w:rFonts w:asciiTheme="minorHAnsi" w:eastAsiaTheme="minorEastAsia" w:hAnsiTheme="minorHAnsi" w:cstheme="minorBidi"/>
              <w:noProof/>
            </w:rPr>
          </w:pPr>
          <w:hyperlink w:anchor="_Toc22629007" w:history="1">
            <w:r w:rsidR="000F11D6" w:rsidRPr="00FC4C07">
              <w:rPr>
                <w:rStyle w:val="Hyperlink"/>
                <w:noProof/>
              </w:rPr>
              <w:t>Access to Records (State – City)</w:t>
            </w:r>
            <w:r w:rsidR="000F11D6">
              <w:rPr>
                <w:noProof/>
                <w:webHidden/>
              </w:rPr>
              <w:tab/>
            </w:r>
            <w:r w:rsidR="000F11D6">
              <w:rPr>
                <w:noProof/>
                <w:webHidden/>
              </w:rPr>
              <w:fldChar w:fldCharType="begin"/>
            </w:r>
            <w:r w:rsidR="000F11D6">
              <w:rPr>
                <w:noProof/>
                <w:webHidden/>
              </w:rPr>
              <w:instrText xml:space="preserve"> PAGEREF _Toc22629007 \h </w:instrText>
            </w:r>
            <w:r w:rsidR="000F11D6">
              <w:rPr>
                <w:noProof/>
                <w:webHidden/>
              </w:rPr>
            </w:r>
            <w:r w:rsidR="000F11D6">
              <w:rPr>
                <w:noProof/>
                <w:webHidden/>
              </w:rPr>
              <w:fldChar w:fldCharType="separate"/>
            </w:r>
            <w:r w:rsidR="000F11D6">
              <w:rPr>
                <w:noProof/>
                <w:webHidden/>
              </w:rPr>
              <w:t>19</w:t>
            </w:r>
            <w:r w:rsidR="000F11D6">
              <w:rPr>
                <w:noProof/>
                <w:webHidden/>
              </w:rPr>
              <w:fldChar w:fldCharType="end"/>
            </w:r>
          </w:hyperlink>
        </w:p>
        <w:p w14:paraId="31F207C2" w14:textId="7CFCEE8D" w:rsidR="000F11D6" w:rsidRDefault="00FD76D6">
          <w:pPr>
            <w:pStyle w:val="TOC2"/>
            <w:rPr>
              <w:rFonts w:asciiTheme="minorHAnsi" w:eastAsiaTheme="minorEastAsia" w:hAnsiTheme="minorHAnsi" w:cstheme="minorBidi"/>
              <w:noProof/>
            </w:rPr>
          </w:pPr>
          <w:hyperlink w:anchor="_Toc22629008" w:history="1">
            <w:r w:rsidR="000F11D6" w:rsidRPr="00FC4C07">
              <w:rPr>
                <w:rStyle w:val="Hyperlink"/>
                <w:noProof/>
              </w:rPr>
              <w:t>Audit Requirements</w:t>
            </w:r>
            <w:r w:rsidR="000F11D6">
              <w:rPr>
                <w:noProof/>
                <w:webHidden/>
              </w:rPr>
              <w:tab/>
            </w:r>
            <w:r w:rsidR="000F11D6">
              <w:rPr>
                <w:noProof/>
                <w:webHidden/>
              </w:rPr>
              <w:fldChar w:fldCharType="begin"/>
            </w:r>
            <w:r w:rsidR="000F11D6">
              <w:rPr>
                <w:noProof/>
                <w:webHidden/>
              </w:rPr>
              <w:instrText xml:space="preserve"> PAGEREF _Toc22629008 \h </w:instrText>
            </w:r>
            <w:r w:rsidR="000F11D6">
              <w:rPr>
                <w:noProof/>
                <w:webHidden/>
              </w:rPr>
            </w:r>
            <w:r w:rsidR="000F11D6">
              <w:rPr>
                <w:noProof/>
                <w:webHidden/>
              </w:rPr>
              <w:fldChar w:fldCharType="separate"/>
            </w:r>
            <w:r w:rsidR="000F11D6">
              <w:rPr>
                <w:noProof/>
                <w:webHidden/>
              </w:rPr>
              <w:t>19</w:t>
            </w:r>
            <w:r w:rsidR="000F11D6">
              <w:rPr>
                <w:noProof/>
                <w:webHidden/>
              </w:rPr>
              <w:fldChar w:fldCharType="end"/>
            </w:r>
          </w:hyperlink>
        </w:p>
        <w:p w14:paraId="2D205AFF" w14:textId="23C665EE" w:rsidR="000F11D6" w:rsidRDefault="00FD76D6">
          <w:pPr>
            <w:pStyle w:val="TOC2"/>
            <w:rPr>
              <w:rFonts w:asciiTheme="minorHAnsi" w:eastAsiaTheme="minorEastAsia" w:hAnsiTheme="minorHAnsi" w:cstheme="minorBidi"/>
              <w:noProof/>
            </w:rPr>
          </w:pPr>
          <w:hyperlink w:anchor="_Toc22629009" w:history="1">
            <w:r w:rsidR="000F11D6" w:rsidRPr="00FC4C07">
              <w:rPr>
                <w:rStyle w:val="Hyperlink"/>
                <w:noProof/>
              </w:rPr>
              <w:t>Fraud, Waste and Abuse</w:t>
            </w:r>
            <w:r w:rsidR="000F11D6">
              <w:rPr>
                <w:noProof/>
                <w:webHidden/>
              </w:rPr>
              <w:tab/>
            </w:r>
            <w:r w:rsidR="000F11D6">
              <w:rPr>
                <w:noProof/>
                <w:webHidden/>
              </w:rPr>
              <w:fldChar w:fldCharType="begin"/>
            </w:r>
            <w:r w:rsidR="000F11D6">
              <w:rPr>
                <w:noProof/>
                <w:webHidden/>
              </w:rPr>
              <w:instrText xml:space="preserve"> PAGEREF _Toc22629009 \h </w:instrText>
            </w:r>
            <w:r w:rsidR="000F11D6">
              <w:rPr>
                <w:noProof/>
                <w:webHidden/>
              </w:rPr>
            </w:r>
            <w:r w:rsidR="000F11D6">
              <w:rPr>
                <w:noProof/>
                <w:webHidden/>
              </w:rPr>
              <w:fldChar w:fldCharType="separate"/>
            </w:r>
            <w:r w:rsidR="000F11D6">
              <w:rPr>
                <w:noProof/>
                <w:webHidden/>
              </w:rPr>
              <w:t>19</w:t>
            </w:r>
            <w:r w:rsidR="000F11D6">
              <w:rPr>
                <w:noProof/>
                <w:webHidden/>
              </w:rPr>
              <w:fldChar w:fldCharType="end"/>
            </w:r>
          </w:hyperlink>
        </w:p>
        <w:p w14:paraId="4D4FA0FB" w14:textId="7C38DD05" w:rsidR="000F11D6" w:rsidRDefault="00FD76D6">
          <w:pPr>
            <w:pStyle w:val="TOC2"/>
            <w:rPr>
              <w:rFonts w:asciiTheme="minorHAnsi" w:eastAsiaTheme="minorEastAsia" w:hAnsiTheme="minorHAnsi" w:cstheme="minorBidi"/>
              <w:noProof/>
            </w:rPr>
          </w:pPr>
          <w:hyperlink w:anchor="_Toc22629010" w:history="1">
            <w:r w:rsidR="000F11D6" w:rsidRPr="00FC4C07">
              <w:rPr>
                <w:rStyle w:val="Hyperlink"/>
                <w:noProof/>
              </w:rPr>
              <w:t>Conflicts of Interest</w:t>
            </w:r>
            <w:r w:rsidR="000F11D6">
              <w:rPr>
                <w:noProof/>
                <w:webHidden/>
              </w:rPr>
              <w:tab/>
            </w:r>
            <w:r w:rsidR="000F11D6">
              <w:rPr>
                <w:noProof/>
                <w:webHidden/>
              </w:rPr>
              <w:fldChar w:fldCharType="begin"/>
            </w:r>
            <w:r w:rsidR="000F11D6">
              <w:rPr>
                <w:noProof/>
                <w:webHidden/>
              </w:rPr>
              <w:instrText xml:space="preserve"> PAGEREF _Toc22629010 \h </w:instrText>
            </w:r>
            <w:r w:rsidR="000F11D6">
              <w:rPr>
                <w:noProof/>
                <w:webHidden/>
              </w:rPr>
            </w:r>
            <w:r w:rsidR="000F11D6">
              <w:rPr>
                <w:noProof/>
                <w:webHidden/>
              </w:rPr>
              <w:fldChar w:fldCharType="separate"/>
            </w:r>
            <w:r w:rsidR="000F11D6">
              <w:rPr>
                <w:noProof/>
                <w:webHidden/>
              </w:rPr>
              <w:t>19</w:t>
            </w:r>
            <w:r w:rsidR="000F11D6">
              <w:rPr>
                <w:noProof/>
                <w:webHidden/>
              </w:rPr>
              <w:fldChar w:fldCharType="end"/>
            </w:r>
          </w:hyperlink>
        </w:p>
        <w:p w14:paraId="02DFADCE" w14:textId="0627E2D1" w:rsidR="000F11D6" w:rsidRDefault="00FD76D6">
          <w:pPr>
            <w:pStyle w:val="TOC2"/>
            <w:rPr>
              <w:rFonts w:asciiTheme="minorHAnsi" w:eastAsiaTheme="minorEastAsia" w:hAnsiTheme="minorHAnsi" w:cstheme="minorBidi"/>
              <w:noProof/>
            </w:rPr>
          </w:pPr>
          <w:hyperlink w:anchor="_Toc22629011" w:history="1">
            <w:r w:rsidR="000F11D6" w:rsidRPr="00FC4C07">
              <w:rPr>
                <w:rStyle w:val="Hyperlink"/>
                <w:noProof/>
              </w:rPr>
              <w:t>Confidentiality/Privacy</w:t>
            </w:r>
            <w:r w:rsidR="000F11D6">
              <w:rPr>
                <w:noProof/>
                <w:webHidden/>
              </w:rPr>
              <w:tab/>
            </w:r>
            <w:r w:rsidR="000F11D6">
              <w:rPr>
                <w:noProof/>
                <w:webHidden/>
              </w:rPr>
              <w:fldChar w:fldCharType="begin"/>
            </w:r>
            <w:r w:rsidR="000F11D6">
              <w:rPr>
                <w:noProof/>
                <w:webHidden/>
              </w:rPr>
              <w:instrText xml:space="preserve"> PAGEREF _Toc22629011 \h </w:instrText>
            </w:r>
            <w:r w:rsidR="000F11D6">
              <w:rPr>
                <w:noProof/>
                <w:webHidden/>
              </w:rPr>
            </w:r>
            <w:r w:rsidR="000F11D6">
              <w:rPr>
                <w:noProof/>
                <w:webHidden/>
              </w:rPr>
              <w:fldChar w:fldCharType="separate"/>
            </w:r>
            <w:r w:rsidR="000F11D6">
              <w:rPr>
                <w:noProof/>
                <w:webHidden/>
              </w:rPr>
              <w:t>20</w:t>
            </w:r>
            <w:r w:rsidR="000F11D6">
              <w:rPr>
                <w:noProof/>
                <w:webHidden/>
              </w:rPr>
              <w:fldChar w:fldCharType="end"/>
            </w:r>
          </w:hyperlink>
        </w:p>
        <w:p w14:paraId="5A1B6B89" w14:textId="7A5F8331" w:rsidR="000F11D6" w:rsidRDefault="00FD76D6">
          <w:pPr>
            <w:pStyle w:val="TOC1"/>
            <w:rPr>
              <w:rFonts w:asciiTheme="minorHAnsi" w:eastAsiaTheme="minorEastAsia" w:hAnsiTheme="minorHAnsi" w:cstheme="minorBidi"/>
              <w:noProof/>
            </w:rPr>
          </w:pPr>
          <w:hyperlink w:anchor="_Toc22629012" w:history="1">
            <w:r w:rsidR="000F11D6" w:rsidRPr="00FC4C07">
              <w:rPr>
                <w:rStyle w:val="Hyperlink"/>
                <w:rFonts w:ascii="Calibri" w:hAnsi="Calibri" w:cs="Calibri"/>
                <w:noProof/>
              </w:rPr>
              <w:t>Record Keeping and Reporting</w:t>
            </w:r>
            <w:r w:rsidR="000F11D6">
              <w:rPr>
                <w:noProof/>
                <w:webHidden/>
              </w:rPr>
              <w:tab/>
            </w:r>
            <w:r w:rsidR="000F11D6">
              <w:rPr>
                <w:noProof/>
                <w:webHidden/>
              </w:rPr>
              <w:fldChar w:fldCharType="begin"/>
            </w:r>
            <w:r w:rsidR="000F11D6">
              <w:rPr>
                <w:noProof/>
                <w:webHidden/>
              </w:rPr>
              <w:instrText xml:space="preserve"> PAGEREF _Toc22629012 \h </w:instrText>
            </w:r>
            <w:r w:rsidR="000F11D6">
              <w:rPr>
                <w:noProof/>
                <w:webHidden/>
              </w:rPr>
            </w:r>
            <w:r w:rsidR="000F11D6">
              <w:rPr>
                <w:noProof/>
                <w:webHidden/>
              </w:rPr>
              <w:fldChar w:fldCharType="separate"/>
            </w:r>
            <w:r w:rsidR="000F11D6">
              <w:rPr>
                <w:noProof/>
                <w:webHidden/>
              </w:rPr>
              <w:t>20</w:t>
            </w:r>
            <w:r w:rsidR="000F11D6">
              <w:rPr>
                <w:noProof/>
                <w:webHidden/>
              </w:rPr>
              <w:fldChar w:fldCharType="end"/>
            </w:r>
          </w:hyperlink>
        </w:p>
        <w:p w14:paraId="68F94D59" w14:textId="3B0E0D9C" w:rsidR="000F11D6" w:rsidRDefault="00FD76D6">
          <w:pPr>
            <w:pStyle w:val="TOC1"/>
            <w:rPr>
              <w:rFonts w:asciiTheme="minorHAnsi" w:eastAsiaTheme="minorEastAsia" w:hAnsiTheme="minorHAnsi" w:cstheme="minorBidi"/>
              <w:noProof/>
            </w:rPr>
          </w:pPr>
          <w:hyperlink w:anchor="_Toc22629013" w:history="1">
            <w:r w:rsidR="000F11D6" w:rsidRPr="00FC4C07">
              <w:rPr>
                <w:rStyle w:val="Hyperlink"/>
                <w:rFonts w:ascii="Calibri" w:hAnsi="Calibri" w:cs="Calibri"/>
                <w:noProof/>
              </w:rPr>
              <w:t>Conflicts of Interest</w:t>
            </w:r>
            <w:r w:rsidR="000F11D6">
              <w:rPr>
                <w:noProof/>
                <w:webHidden/>
              </w:rPr>
              <w:tab/>
            </w:r>
            <w:r w:rsidR="000F11D6">
              <w:rPr>
                <w:noProof/>
                <w:webHidden/>
              </w:rPr>
              <w:fldChar w:fldCharType="begin"/>
            </w:r>
            <w:r w:rsidR="000F11D6">
              <w:rPr>
                <w:noProof/>
                <w:webHidden/>
              </w:rPr>
              <w:instrText xml:space="preserve"> PAGEREF _Toc22629013 \h </w:instrText>
            </w:r>
            <w:r w:rsidR="000F11D6">
              <w:rPr>
                <w:noProof/>
                <w:webHidden/>
              </w:rPr>
            </w:r>
            <w:r w:rsidR="000F11D6">
              <w:rPr>
                <w:noProof/>
                <w:webHidden/>
              </w:rPr>
              <w:fldChar w:fldCharType="separate"/>
            </w:r>
            <w:r w:rsidR="000F11D6">
              <w:rPr>
                <w:noProof/>
                <w:webHidden/>
              </w:rPr>
              <w:t>21</w:t>
            </w:r>
            <w:r w:rsidR="000F11D6">
              <w:rPr>
                <w:noProof/>
                <w:webHidden/>
              </w:rPr>
              <w:fldChar w:fldCharType="end"/>
            </w:r>
          </w:hyperlink>
        </w:p>
        <w:p w14:paraId="3F19335D" w14:textId="30537BA8" w:rsidR="000F11D6" w:rsidRDefault="00FD76D6">
          <w:pPr>
            <w:pStyle w:val="TOC1"/>
            <w:rPr>
              <w:rFonts w:asciiTheme="minorHAnsi" w:eastAsiaTheme="minorEastAsia" w:hAnsiTheme="minorHAnsi" w:cstheme="minorBidi"/>
              <w:noProof/>
            </w:rPr>
          </w:pPr>
          <w:hyperlink w:anchor="_Toc22629014" w:history="1">
            <w:r w:rsidR="000F11D6" w:rsidRPr="00FC4C07">
              <w:rPr>
                <w:rStyle w:val="Hyperlink"/>
                <w:rFonts w:ascii="Calibri" w:hAnsi="Calibri" w:cs="Calibri"/>
                <w:noProof/>
              </w:rPr>
              <w:t>Changes, Waivers, and Conflicts</w:t>
            </w:r>
            <w:r w:rsidR="000F11D6">
              <w:rPr>
                <w:noProof/>
                <w:webHidden/>
              </w:rPr>
              <w:tab/>
            </w:r>
            <w:r w:rsidR="000F11D6">
              <w:rPr>
                <w:noProof/>
                <w:webHidden/>
              </w:rPr>
              <w:fldChar w:fldCharType="begin"/>
            </w:r>
            <w:r w:rsidR="000F11D6">
              <w:rPr>
                <w:noProof/>
                <w:webHidden/>
              </w:rPr>
              <w:instrText xml:space="preserve"> PAGEREF _Toc22629014 \h </w:instrText>
            </w:r>
            <w:r w:rsidR="000F11D6">
              <w:rPr>
                <w:noProof/>
                <w:webHidden/>
              </w:rPr>
            </w:r>
            <w:r w:rsidR="000F11D6">
              <w:rPr>
                <w:noProof/>
                <w:webHidden/>
              </w:rPr>
              <w:fldChar w:fldCharType="separate"/>
            </w:r>
            <w:r w:rsidR="000F11D6">
              <w:rPr>
                <w:noProof/>
                <w:webHidden/>
              </w:rPr>
              <w:t>21</w:t>
            </w:r>
            <w:r w:rsidR="000F11D6">
              <w:rPr>
                <w:noProof/>
                <w:webHidden/>
              </w:rPr>
              <w:fldChar w:fldCharType="end"/>
            </w:r>
          </w:hyperlink>
        </w:p>
        <w:p w14:paraId="44D43D11" w14:textId="4149D3C6" w:rsidR="000F11D6" w:rsidRDefault="00FD76D6">
          <w:pPr>
            <w:pStyle w:val="TOC2"/>
            <w:rPr>
              <w:rFonts w:asciiTheme="minorHAnsi" w:eastAsiaTheme="minorEastAsia" w:hAnsiTheme="minorHAnsi" w:cstheme="minorBidi"/>
              <w:noProof/>
            </w:rPr>
          </w:pPr>
          <w:hyperlink w:anchor="_Toc22629015" w:history="1">
            <w:r w:rsidR="000F11D6" w:rsidRPr="00FC4C07">
              <w:rPr>
                <w:rStyle w:val="Hyperlink"/>
                <w:noProof/>
              </w:rPr>
              <w:t>Waivers</w:t>
            </w:r>
            <w:r w:rsidR="000F11D6">
              <w:rPr>
                <w:noProof/>
                <w:webHidden/>
              </w:rPr>
              <w:tab/>
            </w:r>
            <w:r w:rsidR="000F11D6">
              <w:rPr>
                <w:noProof/>
                <w:webHidden/>
              </w:rPr>
              <w:fldChar w:fldCharType="begin"/>
            </w:r>
            <w:r w:rsidR="000F11D6">
              <w:rPr>
                <w:noProof/>
                <w:webHidden/>
              </w:rPr>
              <w:instrText xml:space="preserve"> PAGEREF _Toc22629015 \h </w:instrText>
            </w:r>
            <w:r w:rsidR="000F11D6">
              <w:rPr>
                <w:noProof/>
                <w:webHidden/>
              </w:rPr>
            </w:r>
            <w:r w:rsidR="000F11D6">
              <w:rPr>
                <w:noProof/>
                <w:webHidden/>
              </w:rPr>
              <w:fldChar w:fldCharType="separate"/>
            </w:r>
            <w:r w:rsidR="000F11D6">
              <w:rPr>
                <w:noProof/>
                <w:webHidden/>
              </w:rPr>
              <w:t>21</w:t>
            </w:r>
            <w:r w:rsidR="000F11D6">
              <w:rPr>
                <w:noProof/>
                <w:webHidden/>
              </w:rPr>
              <w:fldChar w:fldCharType="end"/>
            </w:r>
          </w:hyperlink>
        </w:p>
        <w:p w14:paraId="1D379D8E" w14:textId="1ACB7F9C" w:rsidR="000F11D6" w:rsidRDefault="00FD76D6">
          <w:pPr>
            <w:pStyle w:val="TOC2"/>
            <w:rPr>
              <w:rFonts w:asciiTheme="minorHAnsi" w:eastAsiaTheme="minorEastAsia" w:hAnsiTheme="minorHAnsi" w:cstheme="minorBidi"/>
              <w:noProof/>
            </w:rPr>
          </w:pPr>
          <w:hyperlink w:anchor="_Toc22629016" w:history="1">
            <w:r w:rsidR="000F11D6" w:rsidRPr="00FC4C07">
              <w:rPr>
                <w:rStyle w:val="Hyperlink"/>
                <w:noProof/>
              </w:rPr>
              <w:t>General Program Waiver Request</w:t>
            </w:r>
            <w:r w:rsidR="000F11D6">
              <w:rPr>
                <w:noProof/>
                <w:webHidden/>
              </w:rPr>
              <w:tab/>
            </w:r>
            <w:r w:rsidR="000F11D6">
              <w:rPr>
                <w:noProof/>
                <w:webHidden/>
              </w:rPr>
              <w:fldChar w:fldCharType="begin"/>
            </w:r>
            <w:r w:rsidR="000F11D6">
              <w:rPr>
                <w:noProof/>
                <w:webHidden/>
              </w:rPr>
              <w:instrText xml:space="preserve"> PAGEREF _Toc22629016 \h </w:instrText>
            </w:r>
            <w:r w:rsidR="000F11D6">
              <w:rPr>
                <w:noProof/>
                <w:webHidden/>
              </w:rPr>
            </w:r>
            <w:r w:rsidR="000F11D6">
              <w:rPr>
                <w:noProof/>
                <w:webHidden/>
              </w:rPr>
              <w:fldChar w:fldCharType="separate"/>
            </w:r>
            <w:r w:rsidR="000F11D6">
              <w:rPr>
                <w:noProof/>
                <w:webHidden/>
              </w:rPr>
              <w:t>21</w:t>
            </w:r>
            <w:r w:rsidR="000F11D6">
              <w:rPr>
                <w:noProof/>
                <w:webHidden/>
              </w:rPr>
              <w:fldChar w:fldCharType="end"/>
            </w:r>
          </w:hyperlink>
        </w:p>
        <w:p w14:paraId="79A40508" w14:textId="56B84DF4" w:rsidR="000F11D6" w:rsidRDefault="00FD76D6">
          <w:pPr>
            <w:pStyle w:val="TOC2"/>
            <w:rPr>
              <w:rFonts w:asciiTheme="minorHAnsi" w:eastAsiaTheme="minorEastAsia" w:hAnsiTheme="minorHAnsi" w:cstheme="minorBidi"/>
              <w:noProof/>
            </w:rPr>
          </w:pPr>
          <w:hyperlink w:anchor="_Toc22629017" w:history="1">
            <w:r w:rsidR="000F11D6" w:rsidRPr="00FC4C07">
              <w:rPr>
                <w:rStyle w:val="Hyperlink"/>
                <w:noProof/>
              </w:rPr>
              <w:t>Emergency Waiver Request</w:t>
            </w:r>
            <w:r w:rsidR="000F11D6">
              <w:rPr>
                <w:noProof/>
                <w:webHidden/>
              </w:rPr>
              <w:tab/>
            </w:r>
            <w:r w:rsidR="000F11D6">
              <w:rPr>
                <w:noProof/>
                <w:webHidden/>
              </w:rPr>
              <w:fldChar w:fldCharType="begin"/>
            </w:r>
            <w:r w:rsidR="000F11D6">
              <w:rPr>
                <w:noProof/>
                <w:webHidden/>
              </w:rPr>
              <w:instrText xml:space="preserve"> PAGEREF _Toc22629017 \h </w:instrText>
            </w:r>
            <w:r w:rsidR="000F11D6">
              <w:rPr>
                <w:noProof/>
                <w:webHidden/>
              </w:rPr>
            </w:r>
            <w:r w:rsidR="000F11D6">
              <w:rPr>
                <w:noProof/>
                <w:webHidden/>
              </w:rPr>
              <w:fldChar w:fldCharType="separate"/>
            </w:r>
            <w:r w:rsidR="000F11D6">
              <w:rPr>
                <w:noProof/>
                <w:webHidden/>
              </w:rPr>
              <w:t>22</w:t>
            </w:r>
            <w:r w:rsidR="000F11D6">
              <w:rPr>
                <w:noProof/>
                <w:webHidden/>
              </w:rPr>
              <w:fldChar w:fldCharType="end"/>
            </w:r>
          </w:hyperlink>
        </w:p>
        <w:p w14:paraId="246209CE" w14:textId="360858D8" w:rsidR="000F11D6" w:rsidRDefault="00FD76D6">
          <w:pPr>
            <w:pStyle w:val="TOC1"/>
            <w:rPr>
              <w:rFonts w:asciiTheme="minorHAnsi" w:eastAsiaTheme="minorEastAsia" w:hAnsiTheme="minorHAnsi" w:cstheme="minorBidi"/>
              <w:noProof/>
            </w:rPr>
          </w:pPr>
          <w:hyperlink w:anchor="_Toc22629018" w:history="1">
            <w:r w:rsidR="000F11D6" w:rsidRPr="00FC4C07">
              <w:rPr>
                <w:rStyle w:val="Hyperlink"/>
                <w:rFonts w:ascii="Calibri" w:hAnsi="Calibri" w:cs="Calibri"/>
                <w:noProof/>
              </w:rPr>
              <w:t>Guideline Updates/Public Comments</w:t>
            </w:r>
            <w:r w:rsidR="000F11D6">
              <w:rPr>
                <w:noProof/>
                <w:webHidden/>
              </w:rPr>
              <w:tab/>
            </w:r>
            <w:r w:rsidR="000F11D6">
              <w:rPr>
                <w:noProof/>
                <w:webHidden/>
              </w:rPr>
              <w:fldChar w:fldCharType="begin"/>
            </w:r>
            <w:r w:rsidR="000F11D6">
              <w:rPr>
                <w:noProof/>
                <w:webHidden/>
              </w:rPr>
              <w:instrText xml:space="preserve"> PAGEREF _Toc22629018 \h </w:instrText>
            </w:r>
            <w:r w:rsidR="000F11D6">
              <w:rPr>
                <w:noProof/>
                <w:webHidden/>
              </w:rPr>
            </w:r>
            <w:r w:rsidR="000F11D6">
              <w:rPr>
                <w:noProof/>
                <w:webHidden/>
              </w:rPr>
              <w:fldChar w:fldCharType="separate"/>
            </w:r>
            <w:r w:rsidR="000F11D6">
              <w:rPr>
                <w:noProof/>
                <w:webHidden/>
              </w:rPr>
              <w:t>22</w:t>
            </w:r>
            <w:r w:rsidR="000F11D6">
              <w:rPr>
                <w:noProof/>
                <w:webHidden/>
              </w:rPr>
              <w:fldChar w:fldCharType="end"/>
            </w:r>
          </w:hyperlink>
        </w:p>
        <w:p w14:paraId="601EEE17" w14:textId="0073895F" w:rsidR="000F11D6" w:rsidRDefault="00FD76D6">
          <w:pPr>
            <w:pStyle w:val="TOC1"/>
            <w:rPr>
              <w:rFonts w:asciiTheme="minorHAnsi" w:eastAsiaTheme="minorEastAsia" w:hAnsiTheme="minorHAnsi" w:cstheme="minorBidi"/>
              <w:noProof/>
            </w:rPr>
          </w:pPr>
          <w:hyperlink w:anchor="_Toc22629019" w:history="1">
            <w:r w:rsidR="000F11D6" w:rsidRPr="00FC4C07">
              <w:rPr>
                <w:rStyle w:val="Hyperlink"/>
                <w:rFonts w:ascii="Calibri" w:hAnsi="Calibri" w:cs="Calibri"/>
                <w:noProof/>
              </w:rPr>
              <w:t>Complaints</w:t>
            </w:r>
            <w:r w:rsidR="000F11D6">
              <w:rPr>
                <w:noProof/>
                <w:webHidden/>
              </w:rPr>
              <w:tab/>
            </w:r>
            <w:r w:rsidR="000F11D6">
              <w:rPr>
                <w:noProof/>
                <w:webHidden/>
              </w:rPr>
              <w:fldChar w:fldCharType="begin"/>
            </w:r>
            <w:r w:rsidR="000F11D6">
              <w:rPr>
                <w:noProof/>
                <w:webHidden/>
              </w:rPr>
              <w:instrText xml:space="preserve"> PAGEREF _Toc22629019 \h </w:instrText>
            </w:r>
            <w:r w:rsidR="000F11D6">
              <w:rPr>
                <w:noProof/>
                <w:webHidden/>
              </w:rPr>
            </w:r>
            <w:r w:rsidR="000F11D6">
              <w:rPr>
                <w:noProof/>
                <w:webHidden/>
              </w:rPr>
              <w:fldChar w:fldCharType="separate"/>
            </w:r>
            <w:r w:rsidR="000F11D6">
              <w:rPr>
                <w:noProof/>
                <w:webHidden/>
              </w:rPr>
              <w:t>22</w:t>
            </w:r>
            <w:r w:rsidR="000F11D6">
              <w:rPr>
                <w:noProof/>
                <w:webHidden/>
              </w:rPr>
              <w:fldChar w:fldCharType="end"/>
            </w:r>
          </w:hyperlink>
        </w:p>
        <w:p w14:paraId="1DA0C26C" w14:textId="7B7A8672" w:rsidR="000F11D6" w:rsidRDefault="00FD76D6">
          <w:pPr>
            <w:pStyle w:val="TOC2"/>
            <w:rPr>
              <w:rFonts w:asciiTheme="minorHAnsi" w:eastAsiaTheme="minorEastAsia" w:hAnsiTheme="minorHAnsi" w:cstheme="minorBidi"/>
              <w:noProof/>
            </w:rPr>
          </w:pPr>
          <w:hyperlink w:anchor="_Toc22629020" w:history="1">
            <w:r w:rsidR="000F11D6" w:rsidRPr="00FC4C07">
              <w:rPr>
                <w:rStyle w:val="Hyperlink"/>
                <w:noProof/>
              </w:rPr>
              <w:t>Contact Information</w:t>
            </w:r>
            <w:r w:rsidR="000F11D6">
              <w:rPr>
                <w:noProof/>
                <w:webHidden/>
              </w:rPr>
              <w:tab/>
            </w:r>
            <w:r w:rsidR="000F11D6">
              <w:rPr>
                <w:noProof/>
                <w:webHidden/>
              </w:rPr>
              <w:fldChar w:fldCharType="begin"/>
            </w:r>
            <w:r w:rsidR="000F11D6">
              <w:rPr>
                <w:noProof/>
                <w:webHidden/>
              </w:rPr>
              <w:instrText xml:space="preserve"> PAGEREF _Toc22629020 \h </w:instrText>
            </w:r>
            <w:r w:rsidR="000F11D6">
              <w:rPr>
                <w:noProof/>
                <w:webHidden/>
              </w:rPr>
            </w:r>
            <w:r w:rsidR="000F11D6">
              <w:rPr>
                <w:noProof/>
                <w:webHidden/>
              </w:rPr>
              <w:fldChar w:fldCharType="separate"/>
            </w:r>
            <w:r w:rsidR="000F11D6">
              <w:rPr>
                <w:noProof/>
                <w:webHidden/>
              </w:rPr>
              <w:t>22</w:t>
            </w:r>
            <w:r w:rsidR="000F11D6">
              <w:rPr>
                <w:noProof/>
                <w:webHidden/>
              </w:rPr>
              <w:fldChar w:fldCharType="end"/>
            </w:r>
          </w:hyperlink>
        </w:p>
        <w:p w14:paraId="3B4F6973" w14:textId="64EF0C4A" w:rsidR="000F11D6" w:rsidRDefault="00FD76D6">
          <w:pPr>
            <w:pStyle w:val="TOC1"/>
            <w:rPr>
              <w:rFonts w:asciiTheme="minorHAnsi" w:eastAsiaTheme="minorEastAsia" w:hAnsiTheme="minorHAnsi" w:cstheme="minorBidi"/>
              <w:noProof/>
            </w:rPr>
          </w:pPr>
          <w:hyperlink w:anchor="_Toc22629021" w:history="1">
            <w:r w:rsidR="000F11D6" w:rsidRPr="00FC4C07">
              <w:rPr>
                <w:rStyle w:val="Hyperlink"/>
                <w:rFonts w:ascii="Calibri" w:hAnsi="Calibri" w:cs="Calibri"/>
                <w:noProof/>
              </w:rPr>
              <w:t>Appeals</w:t>
            </w:r>
            <w:r w:rsidR="000F11D6">
              <w:rPr>
                <w:noProof/>
                <w:webHidden/>
              </w:rPr>
              <w:tab/>
            </w:r>
            <w:r w:rsidR="000F11D6">
              <w:rPr>
                <w:noProof/>
                <w:webHidden/>
              </w:rPr>
              <w:fldChar w:fldCharType="begin"/>
            </w:r>
            <w:r w:rsidR="000F11D6">
              <w:rPr>
                <w:noProof/>
                <w:webHidden/>
              </w:rPr>
              <w:instrText xml:space="preserve"> PAGEREF _Toc22629021 \h </w:instrText>
            </w:r>
            <w:r w:rsidR="000F11D6">
              <w:rPr>
                <w:noProof/>
                <w:webHidden/>
              </w:rPr>
            </w:r>
            <w:r w:rsidR="000F11D6">
              <w:rPr>
                <w:noProof/>
                <w:webHidden/>
              </w:rPr>
              <w:fldChar w:fldCharType="separate"/>
            </w:r>
            <w:r w:rsidR="000F11D6">
              <w:rPr>
                <w:noProof/>
                <w:webHidden/>
              </w:rPr>
              <w:t>23</w:t>
            </w:r>
            <w:r w:rsidR="000F11D6">
              <w:rPr>
                <w:noProof/>
                <w:webHidden/>
              </w:rPr>
              <w:fldChar w:fldCharType="end"/>
            </w:r>
          </w:hyperlink>
        </w:p>
        <w:p w14:paraId="708D2DCD" w14:textId="65506EAC" w:rsidR="000F11D6" w:rsidRDefault="00FD76D6">
          <w:pPr>
            <w:pStyle w:val="TOC2"/>
            <w:rPr>
              <w:rFonts w:asciiTheme="minorHAnsi" w:eastAsiaTheme="minorEastAsia" w:hAnsiTheme="minorHAnsi" w:cstheme="minorBidi"/>
              <w:noProof/>
            </w:rPr>
          </w:pPr>
          <w:hyperlink w:anchor="_Toc22629022" w:history="1">
            <w:r w:rsidR="000F11D6" w:rsidRPr="00FC4C07">
              <w:rPr>
                <w:rStyle w:val="Hyperlink"/>
                <w:noProof/>
              </w:rPr>
              <w:t>Appeals Review Committee</w:t>
            </w:r>
            <w:r w:rsidR="000F11D6">
              <w:rPr>
                <w:noProof/>
                <w:webHidden/>
              </w:rPr>
              <w:tab/>
            </w:r>
            <w:r w:rsidR="000F11D6">
              <w:rPr>
                <w:noProof/>
                <w:webHidden/>
              </w:rPr>
              <w:fldChar w:fldCharType="begin"/>
            </w:r>
            <w:r w:rsidR="000F11D6">
              <w:rPr>
                <w:noProof/>
                <w:webHidden/>
              </w:rPr>
              <w:instrText xml:space="preserve"> PAGEREF _Toc22629022 \h </w:instrText>
            </w:r>
            <w:r w:rsidR="000F11D6">
              <w:rPr>
                <w:noProof/>
                <w:webHidden/>
              </w:rPr>
            </w:r>
            <w:r w:rsidR="000F11D6">
              <w:rPr>
                <w:noProof/>
                <w:webHidden/>
              </w:rPr>
              <w:fldChar w:fldCharType="separate"/>
            </w:r>
            <w:r w:rsidR="000F11D6">
              <w:rPr>
                <w:noProof/>
                <w:webHidden/>
              </w:rPr>
              <w:t>23</w:t>
            </w:r>
            <w:r w:rsidR="000F11D6">
              <w:rPr>
                <w:noProof/>
                <w:webHidden/>
              </w:rPr>
              <w:fldChar w:fldCharType="end"/>
            </w:r>
          </w:hyperlink>
        </w:p>
        <w:p w14:paraId="7323072F" w14:textId="4BEB5A41" w:rsidR="000F11D6" w:rsidRDefault="00FD76D6">
          <w:pPr>
            <w:pStyle w:val="TOC2"/>
            <w:rPr>
              <w:rFonts w:asciiTheme="minorHAnsi" w:eastAsiaTheme="minorEastAsia" w:hAnsiTheme="minorHAnsi" w:cstheme="minorBidi"/>
              <w:noProof/>
            </w:rPr>
          </w:pPr>
          <w:hyperlink w:anchor="_Toc22629023" w:history="1">
            <w:r w:rsidR="000F11D6" w:rsidRPr="00FC4C07">
              <w:rPr>
                <w:rStyle w:val="Hyperlink"/>
                <w:noProof/>
              </w:rPr>
              <w:t>Texas General Land Office</w:t>
            </w:r>
            <w:r w:rsidR="000F11D6">
              <w:rPr>
                <w:noProof/>
                <w:webHidden/>
              </w:rPr>
              <w:tab/>
            </w:r>
            <w:r w:rsidR="000F11D6">
              <w:rPr>
                <w:noProof/>
                <w:webHidden/>
              </w:rPr>
              <w:fldChar w:fldCharType="begin"/>
            </w:r>
            <w:r w:rsidR="000F11D6">
              <w:rPr>
                <w:noProof/>
                <w:webHidden/>
              </w:rPr>
              <w:instrText xml:space="preserve"> PAGEREF _Toc22629023 \h </w:instrText>
            </w:r>
            <w:r w:rsidR="000F11D6">
              <w:rPr>
                <w:noProof/>
                <w:webHidden/>
              </w:rPr>
            </w:r>
            <w:r w:rsidR="000F11D6">
              <w:rPr>
                <w:noProof/>
                <w:webHidden/>
              </w:rPr>
              <w:fldChar w:fldCharType="separate"/>
            </w:r>
            <w:r w:rsidR="000F11D6">
              <w:rPr>
                <w:noProof/>
                <w:webHidden/>
              </w:rPr>
              <w:t>24</w:t>
            </w:r>
            <w:r w:rsidR="000F11D6">
              <w:rPr>
                <w:noProof/>
                <w:webHidden/>
              </w:rPr>
              <w:fldChar w:fldCharType="end"/>
            </w:r>
          </w:hyperlink>
        </w:p>
        <w:p w14:paraId="21D77DB4" w14:textId="7A3ADA37" w:rsidR="000F11D6" w:rsidRDefault="00FD76D6">
          <w:pPr>
            <w:pStyle w:val="TOC2"/>
            <w:rPr>
              <w:rFonts w:asciiTheme="minorHAnsi" w:eastAsiaTheme="minorEastAsia" w:hAnsiTheme="minorHAnsi" w:cstheme="minorBidi"/>
              <w:noProof/>
            </w:rPr>
          </w:pPr>
          <w:hyperlink w:anchor="_Toc22629024" w:history="1">
            <w:r w:rsidR="000F11D6" w:rsidRPr="00FC4C07">
              <w:rPr>
                <w:rStyle w:val="Hyperlink"/>
                <w:noProof/>
              </w:rPr>
              <w:t>Contact Information</w:t>
            </w:r>
            <w:r w:rsidR="000F11D6">
              <w:rPr>
                <w:noProof/>
                <w:webHidden/>
              </w:rPr>
              <w:tab/>
            </w:r>
            <w:r w:rsidR="000F11D6">
              <w:rPr>
                <w:noProof/>
                <w:webHidden/>
              </w:rPr>
              <w:fldChar w:fldCharType="begin"/>
            </w:r>
            <w:r w:rsidR="000F11D6">
              <w:rPr>
                <w:noProof/>
                <w:webHidden/>
              </w:rPr>
              <w:instrText xml:space="preserve"> PAGEREF _Toc22629024 \h </w:instrText>
            </w:r>
            <w:r w:rsidR="000F11D6">
              <w:rPr>
                <w:noProof/>
                <w:webHidden/>
              </w:rPr>
            </w:r>
            <w:r w:rsidR="000F11D6">
              <w:rPr>
                <w:noProof/>
                <w:webHidden/>
              </w:rPr>
              <w:fldChar w:fldCharType="separate"/>
            </w:r>
            <w:r w:rsidR="000F11D6">
              <w:rPr>
                <w:noProof/>
                <w:webHidden/>
              </w:rPr>
              <w:t>24</w:t>
            </w:r>
            <w:r w:rsidR="000F11D6">
              <w:rPr>
                <w:noProof/>
                <w:webHidden/>
              </w:rPr>
              <w:fldChar w:fldCharType="end"/>
            </w:r>
          </w:hyperlink>
        </w:p>
        <w:p w14:paraId="62FE1DF5" w14:textId="611B1EC3" w:rsidR="000F11D6" w:rsidRDefault="00FD76D6">
          <w:pPr>
            <w:pStyle w:val="TOC1"/>
            <w:rPr>
              <w:rFonts w:asciiTheme="minorHAnsi" w:eastAsiaTheme="minorEastAsia" w:hAnsiTheme="minorHAnsi" w:cstheme="minorBidi"/>
              <w:noProof/>
            </w:rPr>
          </w:pPr>
          <w:hyperlink w:anchor="_Toc22629025" w:history="1">
            <w:r w:rsidR="000F11D6" w:rsidRPr="00FC4C07">
              <w:rPr>
                <w:rStyle w:val="Hyperlink"/>
                <w:rFonts w:ascii="Calibri" w:hAnsi="Calibri" w:cs="Calibri"/>
                <w:noProof/>
              </w:rPr>
              <w:t>Program Closeout</w:t>
            </w:r>
            <w:r w:rsidR="000F11D6">
              <w:rPr>
                <w:noProof/>
                <w:webHidden/>
              </w:rPr>
              <w:tab/>
            </w:r>
            <w:r w:rsidR="000F11D6">
              <w:rPr>
                <w:noProof/>
                <w:webHidden/>
              </w:rPr>
              <w:fldChar w:fldCharType="begin"/>
            </w:r>
            <w:r w:rsidR="000F11D6">
              <w:rPr>
                <w:noProof/>
                <w:webHidden/>
              </w:rPr>
              <w:instrText xml:space="preserve"> PAGEREF _Toc22629025 \h </w:instrText>
            </w:r>
            <w:r w:rsidR="000F11D6">
              <w:rPr>
                <w:noProof/>
                <w:webHidden/>
              </w:rPr>
            </w:r>
            <w:r w:rsidR="000F11D6">
              <w:rPr>
                <w:noProof/>
                <w:webHidden/>
              </w:rPr>
              <w:fldChar w:fldCharType="separate"/>
            </w:r>
            <w:r w:rsidR="000F11D6">
              <w:rPr>
                <w:noProof/>
                <w:webHidden/>
              </w:rPr>
              <w:t>24</w:t>
            </w:r>
            <w:r w:rsidR="000F11D6">
              <w:rPr>
                <w:noProof/>
                <w:webHidden/>
              </w:rPr>
              <w:fldChar w:fldCharType="end"/>
            </w:r>
          </w:hyperlink>
        </w:p>
        <w:p w14:paraId="49D0295A" w14:textId="784B8D79" w:rsidR="000F11D6" w:rsidRDefault="00FD76D6">
          <w:pPr>
            <w:pStyle w:val="TOC2"/>
            <w:rPr>
              <w:rFonts w:asciiTheme="minorHAnsi" w:eastAsiaTheme="minorEastAsia" w:hAnsiTheme="minorHAnsi" w:cstheme="minorBidi"/>
              <w:noProof/>
            </w:rPr>
          </w:pPr>
          <w:hyperlink w:anchor="_Toc22629026" w:history="1">
            <w:r w:rsidR="000F11D6" w:rsidRPr="00FC4C07">
              <w:rPr>
                <w:rStyle w:val="Hyperlink"/>
                <w:noProof/>
              </w:rPr>
              <w:t>Definitions</w:t>
            </w:r>
            <w:r w:rsidR="000F11D6">
              <w:rPr>
                <w:noProof/>
                <w:webHidden/>
              </w:rPr>
              <w:tab/>
            </w:r>
            <w:r w:rsidR="000F11D6">
              <w:rPr>
                <w:noProof/>
                <w:webHidden/>
              </w:rPr>
              <w:fldChar w:fldCharType="begin"/>
            </w:r>
            <w:r w:rsidR="000F11D6">
              <w:rPr>
                <w:noProof/>
                <w:webHidden/>
              </w:rPr>
              <w:instrText xml:space="preserve"> PAGEREF _Toc22629026 \h </w:instrText>
            </w:r>
            <w:r w:rsidR="000F11D6">
              <w:rPr>
                <w:noProof/>
                <w:webHidden/>
              </w:rPr>
            </w:r>
            <w:r w:rsidR="000F11D6">
              <w:rPr>
                <w:noProof/>
                <w:webHidden/>
              </w:rPr>
              <w:fldChar w:fldCharType="separate"/>
            </w:r>
            <w:r w:rsidR="000F11D6">
              <w:rPr>
                <w:noProof/>
                <w:webHidden/>
              </w:rPr>
              <w:t>25</w:t>
            </w:r>
            <w:r w:rsidR="000F11D6">
              <w:rPr>
                <w:noProof/>
                <w:webHidden/>
              </w:rPr>
              <w:fldChar w:fldCharType="end"/>
            </w:r>
          </w:hyperlink>
        </w:p>
        <w:p w14:paraId="5CFE00CC" w14:textId="062D5A14" w:rsidR="009A54F9" w:rsidRDefault="009A54F9">
          <w:r>
            <w:rPr>
              <w:b/>
              <w:bCs/>
              <w:noProof/>
            </w:rPr>
            <w:fldChar w:fldCharType="end"/>
          </w:r>
        </w:p>
      </w:sdtContent>
    </w:sdt>
    <w:p w14:paraId="38E7D6B3" w14:textId="2F30EFFB" w:rsidR="00956E1B" w:rsidRDefault="00956E1B" w:rsidP="00A94AAB">
      <w:pPr>
        <w:pStyle w:val="Title"/>
        <w:spacing w:after="0" w:line="276" w:lineRule="auto"/>
        <w:outlineLvl w:val="0"/>
        <w:rPr>
          <w:rStyle w:val="IntenseReference"/>
          <w:rFonts w:ascii="Calibri" w:hAnsi="Calibri" w:cs="Calibri"/>
          <w:b w:val="0"/>
          <w:bCs w:val="0"/>
          <w:color w:val="0070C0"/>
          <w:sz w:val="36"/>
          <w:szCs w:val="36"/>
        </w:rPr>
      </w:pPr>
    </w:p>
    <w:p w14:paraId="5C91FEEA" w14:textId="77777777" w:rsidR="00956E1B" w:rsidRDefault="00956E1B" w:rsidP="00A94AAB">
      <w:pPr>
        <w:pStyle w:val="Title"/>
        <w:spacing w:after="0" w:line="276" w:lineRule="auto"/>
        <w:outlineLvl w:val="0"/>
        <w:rPr>
          <w:rStyle w:val="IntenseReference"/>
          <w:rFonts w:ascii="Calibri" w:hAnsi="Calibri" w:cs="Calibri"/>
          <w:b w:val="0"/>
          <w:bCs w:val="0"/>
          <w:color w:val="0070C0"/>
          <w:sz w:val="36"/>
          <w:szCs w:val="36"/>
        </w:rPr>
      </w:pPr>
    </w:p>
    <w:p w14:paraId="1426C799" w14:textId="71AB3D97" w:rsidR="00956E1B" w:rsidRDefault="00956E1B" w:rsidP="00A94AAB">
      <w:pPr>
        <w:pStyle w:val="Title"/>
        <w:spacing w:after="0" w:line="276" w:lineRule="auto"/>
        <w:outlineLvl w:val="0"/>
        <w:rPr>
          <w:rStyle w:val="IntenseReference"/>
          <w:rFonts w:ascii="Calibri" w:hAnsi="Calibri" w:cs="Calibri"/>
          <w:b w:val="0"/>
          <w:bCs w:val="0"/>
          <w:color w:val="0070C0"/>
          <w:sz w:val="36"/>
          <w:szCs w:val="36"/>
        </w:rPr>
      </w:pPr>
    </w:p>
    <w:p w14:paraId="5166B6BA" w14:textId="77777777" w:rsidR="00F374E5" w:rsidRPr="006460DD" w:rsidRDefault="00F374E5" w:rsidP="006460DD"/>
    <w:p w14:paraId="76120F64" w14:textId="5AFA466D" w:rsidR="00A94AAB" w:rsidRPr="00875B96" w:rsidRDefault="00A94AAB" w:rsidP="00A94AAB">
      <w:pPr>
        <w:pStyle w:val="Title"/>
        <w:spacing w:after="0" w:line="276" w:lineRule="auto"/>
        <w:outlineLvl w:val="0"/>
        <w:rPr>
          <w:rFonts w:asciiTheme="minorHAnsi" w:eastAsiaTheme="majorEastAsia" w:hAnsiTheme="minorHAnsi"/>
          <w:color w:val="2F5496" w:themeColor="accent1" w:themeShade="BF"/>
          <w:sz w:val="36"/>
          <w:szCs w:val="36"/>
        </w:rPr>
      </w:pPr>
      <w:bookmarkStart w:id="1" w:name="_Toc5020417"/>
      <w:bookmarkStart w:id="2" w:name="_Toc8137168"/>
      <w:bookmarkStart w:id="3" w:name="_Toc22628972"/>
      <w:r w:rsidRPr="00A94AAB">
        <w:rPr>
          <w:rStyle w:val="IntenseReference"/>
          <w:rFonts w:ascii="Calibri" w:hAnsi="Calibri" w:cs="Calibri"/>
          <w:b w:val="0"/>
          <w:bCs w:val="0"/>
          <w:color w:val="0070C0"/>
          <w:sz w:val="36"/>
          <w:szCs w:val="36"/>
        </w:rPr>
        <w:lastRenderedPageBreak/>
        <w:t>Introduction</w:t>
      </w:r>
      <w:bookmarkEnd w:id="1"/>
      <w:bookmarkEnd w:id="2"/>
      <w:bookmarkEnd w:id="3"/>
    </w:p>
    <w:p w14:paraId="3D2CF91D" w14:textId="5B4294D0" w:rsidR="00F44908" w:rsidRDefault="00A94AAB" w:rsidP="00CB120A">
      <w:pPr>
        <w:rPr>
          <w:rFonts w:ascii="Calibri" w:hAnsi="Calibri" w:cstheme="minorHAnsi"/>
        </w:rPr>
      </w:pPr>
      <w:r w:rsidRPr="005F5FF3">
        <w:rPr>
          <w:rFonts w:ascii="Calibri" w:hAnsi="Calibri" w:cstheme="minorHAnsi"/>
          <w:i/>
        </w:rPr>
        <w:t xml:space="preserve">Through </w:t>
      </w:r>
      <w:r w:rsidR="005C62E5">
        <w:rPr>
          <w:rFonts w:ascii="Calibri" w:hAnsi="Calibri" w:cstheme="minorHAnsi"/>
          <w:i/>
        </w:rPr>
        <w:t>this</w:t>
      </w:r>
      <w:r w:rsidR="005C62E5" w:rsidRPr="005F5FF3">
        <w:rPr>
          <w:rFonts w:ascii="Calibri" w:hAnsi="Calibri" w:cstheme="minorHAnsi"/>
          <w:i/>
        </w:rPr>
        <w:t xml:space="preserve"> </w:t>
      </w:r>
      <w:r>
        <w:rPr>
          <w:rFonts w:ascii="Calibri" w:hAnsi="Calibri" w:cstheme="minorHAnsi"/>
          <w:i/>
        </w:rPr>
        <w:t xml:space="preserve">voluntary multifamily buyout program, </w:t>
      </w:r>
      <w:r w:rsidRPr="005F5FF3">
        <w:rPr>
          <w:rFonts w:ascii="Calibri" w:hAnsi="Calibri" w:cstheme="minorHAnsi"/>
          <w:i/>
        </w:rPr>
        <w:t xml:space="preserve">the City of Houston is committed to </w:t>
      </w:r>
      <w:r>
        <w:rPr>
          <w:rFonts w:ascii="Calibri" w:hAnsi="Calibri" w:cstheme="minorHAnsi"/>
          <w:i/>
        </w:rPr>
        <w:t>assisting multifamily developments that were impacted more than once by</w:t>
      </w:r>
      <w:r w:rsidRPr="005F5FF3">
        <w:rPr>
          <w:rFonts w:ascii="Calibri" w:hAnsi="Calibri" w:cstheme="minorHAnsi"/>
          <w:i/>
        </w:rPr>
        <w:t xml:space="preserve"> </w:t>
      </w:r>
      <w:r w:rsidR="00506A37">
        <w:rPr>
          <w:rFonts w:ascii="Calibri" w:hAnsi="Calibri" w:cstheme="minorHAnsi"/>
          <w:i/>
        </w:rPr>
        <w:t xml:space="preserve">Presidentially Declared </w:t>
      </w:r>
      <w:r>
        <w:rPr>
          <w:rFonts w:ascii="Calibri" w:hAnsi="Calibri" w:cstheme="minorHAnsi"/>
          <w:i/>
        </w:rPr>
        <w:t>natural disasters.</w:t>
      </w:r>
      <w:r w:rsidRPr="005F5FF3">
        <w:rPr>
          <w:rFonts w:ascii="Calibri" w:hAnsi="Calibri" w:cstheme="minorHAnsi"/>
          <w:i/>
        </w:rPr>
        <w:t xml:space="preserve"> Our</w:t>
      </w:r>
      <w:r>
        <w:rPr>
          <w:rFonts w:ascii="Calibri" w:hAnsi="Calibri" w:cstheme="minorHAnsi"/>
          <w:i/>
        </w:rPr>
        <w:t xml:space="preserve"> voluntary</w:t>
      </w:r>
      <w:r w:rsidRPr="005F5FF3">
        <w:rPr>
          <w:rFonts w:ascii="Calibri" w:hAnsi="Calibri" w:cstheme="minorHAnsi"/>
          <w:i/>
        </w:rPr>
        <w:t xml:space="preserve"> </w:t>
      </w:r>
      <w:r>
        <w:rPr>
          <w:rFonts w:ascii="Calibri" w:hAnsi="Calibri" w:cstheme="minorHAnsi"/>
          <w:i/>
        </w:rPr>
        <w:t>buyout</w:t>
      </w:r>
      <w:r w:rsidRPr="005F5FF3">
        <w:rPr>
          <w:rFonts w:ascii="Calibri" w:hAnsi="Calibri" w:cstheme="minorHAnsi"/>
          <w:i/>
        </w:rPr>
        <w:t xml:space="preserve"> programs </w:t>
      </w:r>
      <w:r>
        <w:rPr>
          <w:rFonts w:ascii="Calibri" w:hAnsi="Calibri" w:cstheme="minorHAnsi"/>
          <w:i/>
        </w:rPr>
        <w:t>seek to purchase properties located in a floodway or floodplain to reduce risk from future flooding by conve</w:t>
      </w:r>
      <w:r w:rsidR="00144CF3">
        <w:rPr>
          <w:rFonts w:ascii="Calibri" w:hAnsi="Calibri" w:cstheme="minorHAnsi"/>
          <w:i/>
        </w:rPr>
        <w:t>rting the properties into green</w:t>
      </w:r>
      <w:r>
        <w:rPr>
          <w:rFonts w:ascii="Calibri" w:hAnsi="Calibri" w:cstheme="minorHAnsi"/>
          <w:i/>
        </w:rPr>
        <w:t>spaces or detention</w:t>
      </w:r>
      <w:r w:rsidRPr="005F5FF3">
        <w:rPr>
          <w:rFonts w:ascii="Calibri" w:hAnsi="Calibri" w:cstheme="minorHAnsi"/>
          <w:i/>
        </w:rPr>
        <w:t>. This means</w:t>
      </w:r>
      <w:r>
        <w:rPr>
          <w:rFonts w:ascii="Calibri" w:hAnsi="Calibri" w:cstheme="minorHAnsi"/>
          <w:i/>
        </w:rPr>
        <w:t xml:space="preserve"> any property acquired, accepted, or from which a structure will be removed pursuant to the project will be dedicated and maintained in perpetuity for that use with open space, recreational, or floodplain and wetlands management practices</w:t>
      </w:r>
      <w:r w:rsidRPr="005F5FF3">
        <w:rPr>
          <w:rFonts w:ascii="Calibri" w:hAnsi="Calibri" w:cstheme="minorHAnsi"/>
          <w:i/>
        </w:rPr>
        <w:t>. We will use data to design and evaluate the success of our programs and will be transparent about how the</w:t>
      </w:r>
      <w:r>
        <w:rPr>
          <w:rFonts w:ascii="Calibri" w:hAnsi="Calibri" w:cstheme="minorHAnsi"/>
          <w:i/>
        </w:rPr>
        <w:t xml:space="preserve"> buyout program</w:t>
      </w:r>
      <w:r w:rsidRPr="005F5FF3">
        <w:rPr>
          <w:rFonts w:ascii="Calibri" w:hAnsi="Calibri" w:cstheme="minorHAnsi"/>
          <w:i/>
        </w:rPr>
        <w:t xml:space="preserve"> is unfolding. </w:t>
      </w:r>
      <w:r>
        <w:rPr>
          <w:rFonts w:ascii="Calibri" w:hAnsi="Calibri" w:cstheme="minorHAnsi"/>
          <w:i/>
        </w:rPr>
        <w:t>The voluntary buyout program</w:t>
      </w:r>
      <w:r w:rsidRPr="005F5FF3">
        <w:rPr>
          <w:rFonts w:ascii="Calibri" w:hAnsi="Calibri" w:cstheme="minorHAnsi"/>
          <w:i/>
        </w:rPr>
        <w:t xml:space="preserve"> presents a</w:t>
      </w:r>
      <w:r w:rsidR="00571C69">
        <w:rPr>
          <w:rFonts w:ascii="Calibri" w:hAnsi="Calibri" w:cstheme="minorHAnsi"/>
          <w:i/>
        </w:rPr>
        <w:t>n</w:t>
      </w:r>
      <w:r w:rsidRPr="005F5FF3">
        <w:rPr>
          <w:rFonts w:ascii="Calibri" w:hAnsi="Calibri" w:cstheme="minorHAnsi"/>
          <w:i/>
        </w:rPr>
        <w:t xml:space="preserve"> historic opportunity to build forward into a Houston that’s stronger than ever before.</w:t>
      </w:r>
    </w:p>
    <w:p w14:paraId="53A1EAAE" w14:textId="77777777" w:rsidR="009D2B46" w:rsidRPr="00627E94" w:rsidRDefault="009D2B46" w:rsidP="00CB120A">
      <w:pPr>
        <w:rPr>
          <w:rFonts w:ascii="Calibri" w:hAnsi="Calibri" w:cstheme="minorHAnsi"/>
        </w:rPr>
      </w:pPr>
    </w:p>
    <w:p w14:paraId="5C486694" w14:textId="124FCC06" w:rsidR="00A94AAB" w:rsidRPr="00A94AAB" w:rsidRDefault="007614E9" w:rsidP="000307CA">
      <w:pPr>
        <w:pStyle w:val="Title"/>
        <w:spacing w:after="0"/>
        <w:outlineLvl w:val="0"/>
        <w:rPr>
          <w:rStyle w:val="IntenseReference"/>
          <w:rFonts w:ascii="Calibri" w:hAnsi="Calibri" w:cs="Calibri"/>
          <w:b w:val="0"/>
          <w:bCs w:val="0"/>
          <w:color w:val="0070C0"/>
          <w:sz w:val="36"/>
          <w:szCs w:val="36"/>
        </w:rPr>
      </w:pPr>
      <w:bookmarkStart w:id="4" w:name="_Toc5020418"/>
      <w:bookmarkStart w:id="5" w:name="_Toc8137169"/>
      <w:bookmarkStart w:id="6" w:name="_Toc22628973"/>
      <w:r>
        <w:rPr>
          <w:rStyle w:val="IntenseReference"/>
          <w:rFonts w:ascii="Calibri" w:hAnsi="Calibri" w:cs="Calibri"/>
          <w:b w:val="0"/>
          <w:bCs w:val="0"/>
          <w:color w:val="0070C0"/>
          <w:sz w:val="36"/>
          <w:szCs w:val="36"/>
        </w:rPr>
        <w:t>Multi</w:t>
      </w:r>
      <w:r w:rsidR="00E12EE2">
        <w:rPr>
          <w:rStyle w:val="IntenseReference"/>
          <w:rFonts w:ascii="Calibri" w:hAnsi="Calibri" w:cs="Calibri"/>
          <w:b w:val="0"/>
          <w:bCs w:val="0"/>
          <w:color w:val="0070C0"/>
          <w:sz w:val="36"/>
          <w:szCs w:val="36"/>
        </w:rPr>
        <w:t>f</w:t>
      </w:r>
      <w:r w:rsidR="00A94AAB" w:rsidRPr="00A94AAB">
        <w:rPr>
          <w:rStyle w:val="IntenseReference"/>
          <w:rFonts w:ascii="Calibri" w:hAnsi="Calibri" w:cs="Calibri"/>
          <w:b w:val="0"/>
          <w:bCs w:val="0"/>
          <w:color w:val="0070C0"/>
          <w:sz w:val="36"/>
          <w:szCs w:val="36"/>
        </w:rPr>
        <w:t>amily Voluntary Buyout Administration</w:t>
      </w:r>
      <w:bookmarkEnd w:id="4"/>
      <w:bookmarkEnd w:id="5"/>
      <w:bookmarkEnd w:id="6"/>
      <w:r w:rsidR="00A94AAB" w:rsidRPr="00A94AAB">
        <w:rPr>
          <w:rStyle w:val="IntenseReference"/>
          <w:rFonts w:ascii="Calibri" w:hAnsi="Calibri" w:cs="Calibri"/>
          <w:b w:val="0"/>
          <w:bCs w:val="0"/>
          <w:color w:val="0070C0"/>
          <w:sz w:val="36"/>
          <w:szCs w:val="36"/>
        </w:rPr>
        <w:t xml:space="preserve"> </w:t>
      </w:r>
    </w:p>
    <w:p w14:paraId="60942689" w14:textId="6100BAE6" w:rsidR="004A469C" w:rsidRDefault="00A94AAB" w:rsidP="000307CA">
      <w:pPr>
        <w:pStyle w:val="TOCI"/>
        <w:numPr>
          <w:ilvl w:val="0"/>
          <w:numId w:val="0"/>
        </w:numPr>
        <w:spacing w:after="0" w:line="240" w:lineRule="auto"/>
        <w:rPr>
          <w:rFonts w:cs="Calibri"/>
          <w:color w:val="auto"/>
        </w:rPr>
      </w:pPr>
      <w:bookmarkStart w:id="7" w:name="_Hlk9252560"/>
      <w:r w:rsidRPr="00A94AAB">
        <w:rPr>
          <w:rFonts w:cs="Calibri"/>
          <w:color w:val="auto"/>
        </w:rPr>
        <w:t xml:space="preserve">The Disaster Recovery </w:t>
      </w:r>
      <w:r w:rsidRPr="00F628CD">
        <w:rPr>
          <w:rFonts w:cs="Calibri"/>
          <w:color w:val="auto"/>
        </w:rPr>
        <w:t>(DR-16)</w:t>
      </w:r>
      <w:r w:rsidRPr="00A94AAB">
        <w:rPr>
          <w:rFonts w:cs="Calibri"/>
          <w:color w:val="auto"/>
        </w:rPr>
        <w:t xml:space="preserve"> Multifamily Voluntary Buyout </w:t>
      </w:r>
      <w:r w:rsidR="00636655" w:rsidRPr="00A94AAB">
        <w:rPr>
          <w:rFonts w:cs="Calibri"/>
          <w:color w:val="auto"/>
        </w:rPr>
        <w:t>(</w:t>
      </w:r>
      <w:r w:rsidR="00E56875">
        <w:rPr>
          <w:rFonts w:cs="Calibri"/>
          <w:color w:val="auto"/>
        </w:rPr>
        <w:t>“</w:t>
      </w:r>
      <w:r w:rsidR="00636655" w:rsidRPr="00A94AAB">
        <w:rPr>
          <w:rFonts w:cs="Calibri"/>
          <w:color w:val="auto"/>
        </w:rPr>
        <w:t>MVB</w:t>
      </w:r>
      <w:r w:rsidR="00E56875">
        <w:rPr>
          <w:rFonts w:cs="Calibri"/>
          <w:color w:val="auto"/>
        </w:rPr>
        <w:t>”</w:t>
      </w:r>
      <w:r w:rsidR="00636655" w:rsidRPr="00A94AAB">
        <w:rPr>
          <w:rFonts w:cs="Calibri"/>
          <w:color w:val="auto"/>
        </w:rPr>
        <w:t xml:space="preserve">) </w:t>
      </w:r>
      <w:r w:rsidR="00636655">
        <w:rPr>
          <w:rFonts w:cs="Calibri"/>
          <w:color w:val="auto"/>
        </w:rPr>
        <w:t>p</w:t>
      </w:r>
      <w:r w:rsidRPr="00A94AAB">
        <w:rPr>
          <w:rFonts w:cs="Calibri"/>
          <w:color w:val="auto"/>
        </w:rPr>
        <w:t>rogram is intended to assist eligible City of Houston (</w:t>
      </w:r>
      <w:r w:rsidR="00E56875">
        <w:rPr>
          <w:rFonts w:cs="Calibri"/>
          <w:color w:val="auto"/>
        </w:rPr>
        <w:t>“</w:t>
      </w:r>
      <w:r w:rsidRPr="00A94AAB">
        <w:rPr>
          <w:rFonts w:cs="Calibri"/>
          <w:color w:val="auto"/>
        </w:rPr>
        <w:t>City</w:t>
      </w:r>
      <w:r w:rsidR="00E56875">
        <w:rPr>
          <w:rFonts w:cs="Calibri"/>
          <w:color w:val="auto"/>
        </w:rPr>
        <w:t>”</w:t>
      </w:r>
      <w:r w:rsidRPr="00A94AAB">
        <w:rPr>
          <w:rFonts w:cs="Calibri"/>
          <w:color w:val="auto"/>
        </w:rPr>
        <w:t xml:space="preserve">) applicants whose affordable housing units were directly impacted by </w:t>
      </w:r>
      <w:r w:rsidR="00EE6F14" w:rsidRPr="00F628CD">
        <w:rPr>
          <w:rFonts w:cs="Calibri"/>
          <w:color w:val="auto"/>
        </w:rPr>
        <w:t>2016 Flood Events</w:t>
      </w:r>
      <w:r w:rsidRPr="00F628CD">
        <w:rPr>
          <w:rFonts w:cs="Calibri"/>
          <w:color w:val="auto"/>
        </w:rPr>
        <w:t>.</w:t>
      </w:r>
      <w:r w:rsidRPr="00A94AAB">
        <w:rPr>
          <w:rFonts w:cs="Calibri"/>
          <w:color w:val="auto"/>
        </w:rPr>
        <w:t xml:space="preserve"> </w:t>
      </w:r>
      <w:r w:rsidR="00A70FD5">
        <w:rPr>
          <w:rFonts w:cs="Calibri"/>
          <w:color w:val="auto"/>
        </w:rPr>
        <w:t xml:space="preserve">The primary focus of the MVB </w:t>
      </w:r>
      <w:r w:rsidR="00636655">
        <w:rPr>
          <w:rFonts w:cs="Calibri"/>
          <w:color w:val="auto"/>
        </w:rPr>
        <w:t>p</w:t>
      </w:r>
      <w:r w:rsidR="00BF6DD3">
        <w:rPr>
          <w:rFonts w:cs="Calibri"/>
          <w:color w:val="auto"/>
        </w:rPr>
        <w:t>rogram is to provide relief to</w:t>
      </w:r>
      <w:r w:rsidR="00A70FD5">
        <w:rPr>
          <w:rFonts w:cs="Calibri"/>
          <w:color w:val="auto"/>
        </w:rPr>
        <w:t xml:space="preserve"> </w:t>
      </w:r>
      <w:r w:rsidR="00BF6DD3">
        <w:rPr>
          <w:rFonts w:cs="Calibri"/>
          <w:color w:val="auto"/>
        </w:rPr>
        <w:t>survivors who were affected by these events while complying</w:t>
      </w:r>
      <w:r w:rsidR="00A70FD5">
        <w:rPr>
          <w:rFonts w:cs="Calibri"/>
          <w:color w:val="auto"/>
        </w:rPr>
        <w:t xml:space="preserve"> with all </w:t>
      </w:r>
      <w:r w:rsidR="009E6337">
        <w:rPr>
          <w:rFonts w:cs="Calibri"/>
          <w:color w:val="auto"/>
        </w:rPr>
        <w:t>Community Development Block Grant- Disaster Recovery (“</w:t>
      </w:r>
      <w:r w:rsidR="00A70FD5">
        <w:rPr>
          <w:rFonts w:cs="Calibri"/>
          <w:color w:val="auto"/>
        </w:rPr>
        <w:t>CDBG-DR</w:t>
      </w:r>
      <w:r w:rsidR="009E6337">
        <w:rPr>
          <w:rFonts w:cs="Calibri"/>
          <w:color w:val="auto"/>
        </w:rPr>
        <w:t>”)</w:t>
      </w:r>
      <w:r w:rsidR="00A70FD5">
        <w:rPr>
          <w:rFonts w:cs="Calibri"/>
          <w:color w:val="auto"/>
        </w:rPr>
        <w:t xml:space="preserve"> requirements and addressing impediments to fair housing choice as required under the Fair Housing</w:t>
      </w:r>
      <w:r w:rsidR="00F136E3" w:rsidRPr="00F136E3">
        <w:rPr>
          <w:rFonts w:cs="Calibri"/>
          <w:color w:val="auto"/>
        </w:rPr>
        <w:t xml:space="preserve"> </w:t>
      </w:r>
      <w:r w:rsidR="00F136E3">
        <w:rPr>
          <w:rFonts w:cs="Calibri"/>
          <w:color w:val="auto"/>
        </w:rPr>
        <w:t>Act</w:t>
      </w:r>
      <w:r w:rsidR="00A70FD5">
        <w:rPr>
          <w:rFonts w:cs="Calibri"/>
          <w:color w:val="auto"/>
        </w:rPr>
        <w:t xml:space="preserve">. </w:t>
      </w:r>
      <w:r w:rsidRPr="00A94AAB">
        <w:rPr>
          <w:rFonts w:cs="Calibri"/>
          <w:color w:val="auto"/>
        </w:rPr>
        <w:t>The Department of Housing and Urban Development (</w:t>
      </w:r>
      <w:r w:rsidR="00E56875">
        <w:rPr>
          <w:rFonts w:cs="Calibri"/>
          <w:color w:val="auto"/>
        </w:rPr>
        <w:t>“</w:t>
      </w:r>
      <w:r w:rsidRPr="00A94AAB">
        <w:rPr>
          <w:rFonts w:cs="Calibri"/>
          <w:color w:val="auto"/>
        </w:rPr>
        <w:t>HUD</w:t>
      </w:r>
      <w:r w:rsidR="00E56875">
        <w:rPr>
          <w:rFonts w:cs="Calibri"/>
          <w:color w:val="auto"/>
        </w:rPr>
        <w:t>”</w:t>
      </w:r>
      <w:r w:rsidRPr="00A94AAB">
        <w:rPr>
          <w:rFonts w:cs="Calibri"/>
          <w:color w:val="auto"/>
        </w:rPr>
        <w:t xml:space="preserve">) </w:t>
      </w:r>
      <w:r w:rsidR="00C821F6">
        <w:rPr>
          <w:rFonts w:cs="Calibri"/>
          <w:color w:val="auto"/>
        </w:rPr>
        <w:t>allocated</w:t>
      </w:r>
      <w:r w:rsidR="00C821F6" w:rsidRPr="00A94AAB">
        <w:rPr>
          <w:rFonts w:cs="Calibri"/>
          <w:color w:val="auto"/>
        </w:rPr>
        <w:t xml:space="preserve"> </w:t>
      </w:r>
      <w:r w:rsidRPr="0060036D">
        <w:rPr>
          <w:rFonts w:cs="Calibri"/>
          <w:color w:val="auto"/>
        </w:rPr>
        <w:t>$</w:t>
      </w:r>
      <w:r w:rsidR="00174B5C" w:rsidRPr="0060036D">
        <w:rPr>
          <w:rFonts w:cs="Calibri"/>
          <w:color w:val="auto"/>
        </w:rPr>
        <w:t>238,895,000.00</w:t>
      </w:r>
      <w:r w:rsidRPr="00A94AAB">
        <w:rPr>
          <w:rFonts w:cs="Calibri"/>
          <w:color w:val="auto"/>
        </w:rPr>
        <w:t xml:space="preserve"> in CDBG-DR funding to the Texas General Land Office (</w:t>
      </w:r>
      <w:r w:rsidR="00E56875">
        <w:rPr>
          <w:rFonts w:cs="Calibri"/>
          <w:color w:val="auto"/>
        </w:rPr>
        <w:t>“</w:t>
      </w:r>
      <w:r w:rsidRPr="00A94AAB">
        <w:rPr>
          <w:rFonts w:cs="Calibri"/>
          <w:color w:val="auto"/>
        </w:rPr>
        <w:t>GLO</w:t>
      </w:r>
      <w:r w:rsidR="00E56875">
        <w:rPr>
          <w:rFonts w:cs="Calibri"/>
          <w:color w:val="auto"/>
        </w:rPr>
        <w:t>”</w:t>
      </w:r>
      <w:r w:rsidRPr="00A94AAB">
        <w:rPr>
          <w:rFonts w:cs="Calibri"/>
          <w:color w:val="auto"/>
        </w:rPr>
        <w:t xml:space="preserve">). Of this </w:t>
      </w:r>
      <w:r w:rsidRPr="0060036D">
        <w:rPr>
          <w:rFonts w:cs="Calibri"/>
          <w:color w:val="auto"/>
        </w:rPr>
        <w:t>$</w:t>
      </w:r>
      <w:r w:rsidR="00174B5C" w:rsidRPr="0060036D">
        <w:rPr>
          <w:rFonts w:cs="Calibri"/>
          <w:color w:val="auto"/>
        </w:rPr>
        <w:t>238,895,000.00</w:t>
      </w:r>
      <w:r w:rsidRPr="00A94AAB">
        <w:rPr>
          <w:rFonts w:cs="Calibri"/>
          <w:color w:val="auto"/>
        </w:rPr>
        <w:t xml:space="preserve"> allocation, the City has received </w:t>
      </w:r>
      <w:r w:rsidR="00C821F6">
        <w:rPr>
          <w:rFonts w:cs="Calibri"/>
          <w:color w:val="auto"/>
        </w:rPr>
        <w:t>a subgrant</w:t>
      </w:r>
      <w:r w:rsidR="00B36493">
        <w:rPr>
          <w:rFonts w:cs="Calibri"/>
          <w:color w:val="auto"/>
        </w:rPr>
        <w:t xml:space="preserve"> in the amount </w:t>
      </w:r>
      <w:r w:rsidR="00B36493" w:rsidRPr="00A94AAB">
        <w:rPr>
          <w:rFonts w:cs="Calibri"/>
          <w:color w:val="auto"/>
        </w:rPr>
        <w:t xml:space="preserve">of </w:t>
      </w:r>
      <w:r w:rsidR="00B36493" w:rsidRPr="0060036D">
        <w:rPr>
          <w:rFonts w:cs="Calibri"/>
          <w:color w:val="auto"/>
        </w:rPr>
        <w:t>$23,486,698.00</w:t>
      </w:r>
      <w:r w:rsidR="00B36493" w:rsidRPr="00A94AAB">
        <w:rPr>
          <w:rFonts w:cs="Calibri"/>
          <w:color w:val="auto"/>
        </w:rPr>
        <w:t xml:space="preserve"> </w:t>
      </w:r>
      <w:r w:rsidRPr="00A94AAB">
        <w:rPr>
          <w:rFonts w:cs="Calibri"/>
          <w:color w:val="auto"/>
        </w:rPr>
        <w:t xml:space="preserve">from </w:t>
      </w:r>
      <w:r w:rsidR="00C821F6">
        <w:rPr>
          <w:rFonts w:cs="Calibri"/>
          <w:color w:val="auto"/>
        </w:rPr>
        <w:t xml:space="preserve">the </w:t>
      </w:r>
      <w:r w:rsidRPr="00A94AAB">
        <w:rPr>
          <w:rFonts w:cs="Calibri"/>
          <w:color w:val="auto"/>
        </w:rPr>
        <w:t>GLO for development and implementation of programs that</w:t>
      </w:r>
      <w:r w:rsidR="000F6065">
        <w:rPr>
          <w:rFonts w:cs="Calibri"/>
          <w:color w:val="auto"/>
        </w:rPr>
        <w:t xml:space="preserve"> will</w:t>
      </w:r>
      <w:r w:rsidRPr="00A94AAB">
        <w:rPr>
          <w:rFonts w:cs="Calibri"/>
          <w:color w:val="auto"/>
        </w:rPr>
        <w:t xml:space="preserve"> directly benefit </w:t>
      </w:r>
      <w:r w:rsidR="00C821F6">
        <w:rPr>
          <w:rFonts w:cs="Calibri"/>
          <w:color w:val="auto"/>
        </w:rPr>
        <w:t>City</w:t>
      </w:r>
      <w:r w:rsidR="00C821F6" w:rsidRPr="00A94AAB">
        <w:rPr>
          <w:rFonts w:cs="Calibri"/>
          <w:color w:val="auto"/>
        </w:rPr>
        <w:t xml:space="preserve"> </w:t>
      </w:r>
      <w:r w:rsidRPr="00A94AAB">
        <w:rPr>
          <w:rFonts w:cs="Calibri"/>
          <w:color w:val="auto"/>
        </w:rPr>
        <w:t xml:space="preserve">residents. HUD outlined the allocations and applicable waivers and alternative requirements in Federal Register Notice published on </w:t>
      </w:r>
      <w:r w:rsidRPr="0060036D">
        <w:rPr>
          <w:rFonts w:cs="Calibri"/>
          <w:color w:val="auto"/>
        </w:rPr>
        <w:t>November 21, 2016 (81 F</w:t>
      </w:r>
      <w:r w:rsidR="00C821F6" w:rsidRPr="0060036D">
        <w:rPr>
          <w:rFonts w:cs="Calibri"/>
          <w:color w:val="auto"/>
        </w:rPr>
        <w:t xml:space="preserve">ed. </w:t>
      </w:r>
      <w:r w:rsidRPr="0060036D">
        <w:rPr>
          <w:rFonts w:cs="Calibri"/>
          <w:color w:val="auto"/>
        </w:rPr>
        <w:t>R</w:t>
      </w:r>
      <w:r w:rsidR="00C821F6" w:rsidRPr="0060036D">
        <w:rPr>
          <w:rFonts w:cs="Calibri"/>
          <w:color w:val="auto"/>
        </w:rPr>
        <w:t>eg.</w:t>
      </w:r>
      <w:r w:rsidRPr="0060036D">
        <w:rPr>
          <w:rFonts w:cs="Calibri"/>
          <w:color w:val="auto"/>
        </w:rPr>
        <w:t xml:space="preserve"> 83254)</w:t>
      </w:r>
      <w:r w:rsidRPr="00A94AAB">
        <w:rPr>
          <w:rFonts w:cs="Calibri"/>
          <w:color w:val="auto"/>
        </w:rPr>
        <w:t>. Subsequent publications of waivers and alternative requirements can be found in the table below under</w:t>
      </w:r>
      <w:r>
        <w:rPr>
          <w:rFonts w:cs="Calibri"/>
          <w:color w:val="auto"/>
        </w:rPr>
        <w:t xml:space="preserve"> Applicable Laws &amp; Regulations. </w:t>
      </w:r>
      <w:r w:rsidR="009E6337">
        <w:rPr>
          <w:rFonts w:cs="Calibri"/>
          <w:color w:val="auto"/>
        </w:rPr>
        <w:t xml:space="preserve">As of July 3, 2019, HUD approved the State of Texas’ Action Plan Amendment #4 (APA) for CDBG- DR funds appropriated under the Continuing Appropriations Acts 2017 Public Law (“P.L.”) 114-223, P.L. 114-254, and P.L. 115-31. </w:t>
      </w:r>
    </w:p>
    <w:bookmarkEnd w:id="7"/>
    <w:p w14:paraId="2E974FC1" w14:textId="77777777" w:rsidR="004A469C" w:rsidRDefault="004A469C" w:rsidP="000307CA">
      <w:pPr>
        <w:pStyle w:val="TOCI"/>
        <w:numPr>
          <w:ilvl w:val="0"/>
          <w:numId w:val="0"/>
        </w:numPr>
        <w:spacing w:after="0" w:line="240" w:lineRule="auto"/>
        <w:rPr>
          <w:rFonts w:cs="Calibri"/>
          <w:color w:val="auto"/>
        </w:rPr>
      </w:pPr>
    </w:p>
    <w:p w14:paraId="7DDB6DDC" w14:textId="3F5A117F" w:rsidR="004A469C" w:rsidRDefault="00A94AAB" w:rsidP="000307CA">
      <w:pPr>
        <w:pStyle w:val="TOCI"/>
        <w:numPr>
          <w:ilvl w:val="0"/>
          <w:numId w:val="0"/>
        </w:numPr>
        <w:spacing w:after="0" w:line="240" w:lineRule="auto"/>
        <w:rPr>
          <w:rFonts w:cs="Calibri"/>
          <w:color w:val="auto"/>
        </w:rPr>
      </w:pPr>
      <w:r w:rsidRPr="00E9013E">
        <w:rPr>
          <w:rFonts w:cs="Calibri"/>
          <w:color w:val="auto"/>
        </w:rPr>
        <w:t xml:space="preserve">The </w:t>
      </w:r>
      <w:bookmarkStart w:id="8" w:name="_Hlk528137467"/>
      <w:r w:rsidRPr="00E9013E">
        <w:rPr>
          <w:rFonts w:cs="Calibri"/>
          <w:color w:val="auto"/>
        </w:rPr>
        <w:t>Multifamily Voluntary Buyout Program will</w:t>
      </w:r>
      <w:bookmarkEnd w:id="8"/>
      <w:r w:rsidRPr="00E9013E">
        <w:rPr>
          <w:rFonts w:cs="Calibri"/>
          <w:color w:val="auto"/>
        </w:rPr>
        <w:t xml:space="preserve"> </w:t>
      </w:r>
      <w:r w:rsidR="003C3E43">
        <w:rPr>
          <w:rFonts w:cs="Calibri"/>
          <w:color w:val="auto"/>
        </w:rPr>
        <w:t xml:space="preserve">address </w:t>
      </w:r>
      <w:r w:rsidR="003C3E43" w:rsidRPr="0060036D">
        <w:rPr>
          <w:rFonts w:cs="Calibri"/>
          <w:color w:val="auto"/>
        </w:rPr>
        <w:t>two major disaster, which</w:t>
      </w:r>
      <w:r w:rsidR="00A17D6C" w:rsidRPr="0060036D">
        <w:rPr>
          <w:rFonts w:cs="Calibri"/>
          <w:color w:val="auto"/>
        </w:rPr>
        <w:t xml:space="preserve"> impacted Harris County in 2016.</w:t>
      </w:r>
      <w:r w:rsidR="003C3E43" w:rsidRPr="0060036D">
        <w:rPr>
          <w:rFonts w:cs="Calibri"/>
          <w:color w:val="auto"/>
        </w:rPr>
        <w:t xml:space="preserve"> </w:t>
      </w:r>
      <w:r w:rsidR="00BF6DD3" w:rsidRPr="0060036D">
        <w:rPr>
          <w:rFonts w:cs="Calibri"/>
          <w:color w:val="auto"/>
        </w:rPr>
        <w:t xml:space="preserve">The first </w:t>
      </w:r>
      <w:r w:rsidR="003C3E43" w:rsidRPr="0060036D">
        <w:rPr>
          <w:rFonts w:cs="Calibri"/>
          <w:color w:val="auto"/>
        </w:rPr>
        <w:t>DR-4269- TX occurred in April 2016 and is referred to as the “</w:t>
      </w:r>
      <w:r w:rsidR="00A17D6C" w:rsidRPr="0060036D">
        <w:rPr>
          <w:rFonts w:cs="Calibri"/>
          <w:color w:val="auto"/>
        </w:rPr>
        <w:t xml:space="preserve">Tax Day Flood,” and </w:t>
      </w:r>
      <w:r w:rsidR="00BF6DD3" w:rsidRPr="0060036D">
        <w:rPr>
          <w:rFonts w:cs="Calibri"/>
          <w:color w:val="auto"/>
        </w:rPr>
        <w:t xml:space="preserve">the second </w:t>
      </w:r>
      <w:r w:rsidR="003C3E43" w:rsidRPr="0060036D">
        <w:rPr>
          <w:rFonts w:cs="Calibri"/>
          <w:color w:val="auto"/>
        </w:rPr>
        <w:t xml:space="preserve">DR-4272-TX occurred over a month-long period from May 22 through June 24, 2016 and is referred to as the </w:t>
      </w:r>
      <w:r w:rsidR="00A17D6C" w:rsidRPr="0060036D">
        <w:rPr>
          <w:rFonts w:cs="Calibri"/>
          <w:color w:val="auto"/>
        </w:rPr>
        <w:t>“</w:t>
      </w:r>
      <w:r w:rsidR="003C3E43" w:rsidRPr="0060036D">
        <w:rPr>
          <w:rFonts w:cs="Calibri"/>
          <w:color w:val="auto"/>
        </w:rPr>
        <w:t>May 2016 Flood Events</w:t>
      </w:r>
      <w:r w:rsidR="003C3E43">
        <w:rPr>
          <w:rFonts w:cs="Calibri"/>
          <w:color w:val="auto"/>
        </w:rPr>
        <w:t xml:space="preserve">. </w:t>
      </w:r>
      <w:r w:rsidRPr="00E9013E">
        <w:rPr>
          <w:rFonts w:cs="Calibri"/>
          <w:color w:val="auto"/>
        </w:rPr>
        <w:t xml:space="preserve">Through this program, </w:t>
      </w:r>
      <w:r w:rsidR="00E56875">
        <w:rPr>
          <w:rFonts w:cs="Calibri"/>
          <w:color w:val="auto"/>
        </w:rPr>
        <w:t xml:space="preserve">the City of Houston’s </w:t>
      </w:r>
      <w:r w:rsidRPr="00E9013E">
        <w:rPr>
          <w:rFonts w:cs="Calibri"/>
          <w:color w:val="auto"/>
        </w:rPr>
        <w:t>H</w:t>
      </w:r>
      <w:r w:rsidR="00E56875">
        <w:rPr>
          <w:rFonts w:cs="Calibri"/>
          <w:color w:val="auto"/>
        </w:rPr>
        <w:t xml:space="preserve">ousing and </w:t>
      </w:r>
      <w:r w:rsidRPr="00E9013E">
        <w:rPr>
          <w:rFonts w:cs="Calibri"/>
          <w:color w:val="auto"/>
        </w:rPr>
        <w:t>C</w:t>
      </w:r>
      <w:r w:rsidR="00E56875">
        <w:rPr>
          <w:rFonts w:cs="Calibri"/>
          <w:color w:val="auto"/>
        </w:rPr>
        <w:t xml:space="preserve">ommunity </w:t>
      </w:r>
      <w:r w:rsidRPr="00E9013E">
        <w:rPr>
          <w:rFonts w:cs="Calibri"/>
          <w:color w:val="auto"/>
        </w:rPr>
        <w:t>D</w:t>
      </w:r>
      <w:r w:rsidR="00E56875">
        <w:rPr>
          <w:rFonts w:cs="Calibri"/>
          <w:color w:val="auto"/>
        </w:rPr>
        <w:t xml:space="preserve">evelopment </w:t>
      </w:r>
      <w:r w:rsidRPr="00E9013E">
        <w:rPr>
          <w:rFonts w:cs="Calibri"/>
          <w:color w:val="auto"/>
        </w:rPr>
        <w:t>D</w:t>
      </w:r>
      <w:r w:rsidR="00E56875">
        <w:rPr>
          <w:rFonts w:cs="Calibri"/>
          <w:color w:val="auto"/>
        </w:rPr>
        <w:t>epartment (“HCDD”)</w:t>
      </w:r>
      <w:r w:rsidRPr="00E9013E">
        <w:rPr>
          <w:rFonts w:cs="Calibri"/>
          <w:color w:val="auto"/>
        </w:rPr>
        <w:t xml:space="preserve"> will acquire properties located in a floodway or floodplain </w:t>
      </w:r>
      <w:r w:rsidR="00BF6DD3">
        <w:rPr>
          <w:rFonts w:cs="Calibri"/>
          <w:color w:val="auto"/>
        </w:rPr>
        <w:t>with the</w:t>
      </w:r>
      <w:r w:rsidRPr="00E9013E">
        <w:rPr>
          <w:rFonts w:cs="Calibri"/>
          <w:color w:val="auto"/>
        </w:rPr>
        <w:t xml:space="preserve"> inten</w:t>
      </w:r>
      <w:r w:rsidR="00BF6DD3">
        <w:rPr>
          <w:rFonts w:cs="Calibri"/>
          <w:color w:val="auto"/>
        </w:rPr>
        <w:t>t</w:t>
      </w:r>
      <w:r w:rsidRPr="00E9013E">
        <w:rPr>
          <w:rFonts w:cs="Calibri"/>
          <w:color w:val="auto"/>
        </w:rPr>
        <w:t xml:space="preserve"> to re</w:t>
      </w:r>
      <w:r w:rsidR="00E9013E" w:rsidRPr="00E9013E">
        <w:rPr>
          <w:rFonts w:cs="Calibri"/>
          <w:color w:val="auto"/>
        </w:rPr>
        <w:t xml:space="preserve">duce </w:t>
      </w:r>
      <w:r w:rsidR="00B76B43">
        <w:rPr>
          <w:rFonts w:cs="Calibri"/>
          <w:color w:val="auto"/>
        </w:rPr>
        <w:t xml:space="preserve">the </w:t>
      </w:r>
      <w:r w:rsidR="00E9013E" w:rsidRPr="00E9013E">
        <w:rPr>
          <w:rFonts w:cs="Calibri"/>
          <w:color w:val="auto"/>
        </w:rPr>
        <w:t xml:space="preserve">risk </w:t>
      </w:r>
      <w:r w:rsidR="00B76B43">
        <w:rPr>
          <w:rFonts w:cs="Calibri"/>
          <w:color w:val="auto"/>
        </w:rPr>
        <w:t xml:space="preserve">of </w:t>
      </w:r>
      <w:r w:rsidR="00E9013E" w:rsidRPr="00E9013E">
        <w:rPr>
          <w:rFonts w:cs="Calibri"/>
          <w:color w:val="auto"/>
        </w:rPr>
        <w:t xml:space="preserve">future flooding. </w:t>
      </w:r>
      <w:r w:rsidR="001C2E3A">
        <w:rPr>
          <w:rFonts w:cs="Calibri"/>
          <w:color w:val="auto"/>
        </w:rPr>
        <w:t>The p</w:t>
      </w:r>
      <w:r w:rsidR="001C2E3A" w:rsidRPr="00A02D3C">
        <w:rPr>
          <w:rFonts w:cs="Calibri"/>
          <w:color w:val="auto"/>
        </w:rPr>
        <w:t>roposed sites will be selected internally by HCDD in coordination with Houston Public Works (</w:t>
      </w:r>
      <w:r w:rsidR="00E56875">
        <w:rPr>
          <w:rFonts w:cs="Calibri"/>
          <w:color w:val="auto"/>
        </w:rPr>
        <w:t>“</w:t>
      </w:r>
      <w:r w:rsidR="001C2E3A" w:rsidRPr="00A02D3C">
        <w:rPr>
          <w:rFonts w:cs="Calibri"/>
          <w:color w:val="auto"/>
        </w:rPr>
        <w:t>HPW</w:t>
      </w:r>
      <w:r w:rsidR="00E56875">
        <w:rPr>
          <w:rFonts w:cs="Calibri"/>
          <w:color w:val="auto"/>
        </w:rPr>
        <w:t>”</w:t>
      </w:r>
      <w:r w:rsidR="001C2E3A" w:rsidRPr="00A02D3C">
        <w:rPr>
          <w:rFonts w:cs="Calibri"/>
          <w:color w:val="auto"/>
        </w:rPr>
        <w:t>)</w:t>
      </w:r>
      <w:r w:rsidR="00B76B43">
        <w:rPr>
          <w:rFonts w:cs="Calibri"/>
          <w:color w:val="auto"/>
        </w:rPr>
        <w:t>,</w:t>
      </w:r>
      <w:r w:rsidR="001C2E3A" w:rsidRPr="00A02D3C">
        <w:rPr>
          <w:rFonts w:cs="Calibri"/>
          <w:color w:val="auto"/>
        </w:rPr>
        <w:t xml:space="preserve"> to identify developments that are environmentally vulnerable to future disa</w:t>
      </w:r>
      <w:r w:rsidR="001C2E3A">
        <w:rPr>
          <w:rFonts w:cs="Calibri"/>
          <w:color w:val="auto"/>
        </w:rPr>
        <w:t xml:space="preserve">sters. </w:t>
      </w:r>
      <w:r w:rsidR="00B76B43" w:rsidRPr="00A94AAB">
        <w:rPr>
          <w:rFonts w:cs="Calibri"/>
          <w:color w:val="auto"/>
        </w:rPr>
        <w:t>Th</w:t>
      </w:r>
      <w:r w:rsidR="00B76B43">
        <w:rPr>
          <w:rFonts w:cs="Calibri"/>
          <w:color w:val="auto"/>
        </w:rPr>
        <w:t>is</w:t>
      </w:r>
      <w:r w:rsidR="00B76B43" w:rsidRPr="00A94AAB">
        <w:rPr>
          <w:rFonts w:cs="Calibri"/>
          <w:color w:val="auto"/>
        </w:rPr>
        <w:t xml:space="preserve"> buyout</w:t>
      </w:r>
      <w:r w:rsidR="00B76B43">
        <w:rPr>
          <w:rFonts w:cs="Calibri"/>
          <w:color w:val="auto"/>
        </w:rPr>
        <w:t xml:space="preserve"> method will</w:t>
      </w:r>
      <w:r w:rsidR="00B76B43" w:rsidRPr="00A94AAB">
        <w:rPr>
          <w:rFonts w:cs="Calibri"/>
          <w:color w:val="auto"/>
        </w:rPr>
        <w:t xml:space="preserve"> strategically</w:t>
      </w:r>
      <w:r w:rsidRPr="00A94AAB">
        <w:rPr>
          <w:rFonts w:cs="Calibri"/>
          <w:color w:val="auto"/>
        </w:rPr>
        <w:t xml:space="preserve"> </w:t>
      </w:r>
      <w:r w:rsidR="00B76B43">
        <w:rPr>
          <w:rFonts w:cs="Calibri"/>
          <w:color w:val="auto"/>
        </w:rPr>
        <w:t>create</w:t>
      </w:r>
      <w:r w:rsidRPr="00A94AAB">
        <w:rPr>
          <w:rFonts w:cs="Calibri"/>
          <w:color w:val="auto"/>
        </w:rPr>
        <w:t xml:space="preserve"> </w:t>
      </w:r>
      <w:r w:rsidR="00B76B43">
        <w:rPr>
          <w:rFonts w:cs="Calibri"/>
          <w:color w:val="auto"/>
        </w:rPr>
        <w:t>opportunities</w:t>
      </w:r>
      <w:r w:rsidR="00B76B43" w:rsidRPr="00A94AAB">
        <w:rPr>
          <w:rFonts w:cs="Calibri"/>
          <w:color w:val="auto"/>
        </w:rPr>
        <w:t xml:space="preserve"> </w:t>
      </w:r>
      <w:r w:rsidR="00B76B43">
        <w:rPr>
          <w:rFonts w:cs="Calibri"/>
          <w:color w:val="auto"/>
        </w:rPr>
        <w:t>to</w:t>
      </w:r>
      <w:r w:rsidRPr="00A94AAB">
        <w:rPr>
          <w:rFonts w:cs="Calibri"/>
          <w:color w:val="auto"/>
        </w:rPr>
        <w:t xml:space="preserve"> acquiring contiguous parcels of land for uses compatible with open space, recreational, natural floodplain functions, ecosystem restoration, or wetlands management practices. </w:t>
      </w:r>
    </w:p>
    <w:p w14:paraId="7AF89A18" w14:textId="0178800A" w:rsidR="004A469C" w:rsidRDefault="004A469C" w:rsidP="000307CA">
      <w:pPr>
        <w:pStyle w:val="TOCI"/>
        <w:numPr>
          <w:ilvl w:val="0"/>
          <w:numId w:val="0"/>
        </w:numPr>
        <w:spacing w:after="0" w:line="240" w:lineRule="auto"/>
        <w:rPr>
          <w:rFonts w:cs="Calibri"/>
          <w:color w:val="auto"/>
        </w:rPr>
      </w:pPr>
    </w:p>
    <w:p w14:paraId="4F3ABBE9" w14:textId="2FF64E45" w:rsidR="00591325" w:rsidRDefault="00A94AAB" w:rsidP="001C1C52">
      <w:pPr>
        <w:pStyle w:val="TOCI"/>
        <w:numPr>
          <w:ilvl w:val="0"/>
          <w:numId w:val="0"/>
        </w:numPr>
        <w:spacing w:after="0" w:line="240" w:lineRule="auto"/>
        <w:rPr>
          <w:rFonts w:cs="Calibri"/>
          <w:color w:val="auto"/>
        </w:rPr>
      </w:pPr>
      <w:r w:rsidRPr="00A94AAB">
        <w:rPr>
          <w:rFonts w:cs="Calibri"/>
          <w:color w:val="auto"/>
        </w:rPr>
        <w:t xml:space="preserve">The City of Houston reserves the sole discretion of interpreting and applying these Guidelines, except for those items where GLO or HUD has indicated that their prior approval is required for implementation. </w:t>
      </w:r>
      <w:r w:rsidRPr="00A94AAB">
        <w:rPr>
          <w:rFonts w:cs="Calibri"/>
          <w:color w:val="auto"/>
        </w:rPr>
        <w:lastRenderedPageBreak/>
        <w:t>HCDD will utilize administrative procedures to implement the programs and modify them to meet any changes made to such rules and regulations of the oversight entities, which may occur over time. At all times, should any conflict in these procedures exist with the applicable funding resource, the requirements of the funding source shall take precedence, other than “local preferences” that are allow</w:t>
      </w:r>
      <w:r>
        <w:rPr>
          <w:rFonts w:cs="Calibri"/>
          <w:color w:val="auto"/>
        </w:rPr>
        <w:t>able under federal regulations.</w:t>
      </w:r>
    </w:p>
    <w:p w14:paraId="17258363" w14:textId="152E2A09" w:rsidR="001A2649" w:rsidRDefault="001A2649" w:rsidP="001C1C52">
      <w:pPr>
        <w:pStyle w:val="TOCI"/>
        <w:numPr>
          <w:ilvl w:val="0"/>
          <w:numId w:val="0"/>
        </w:numPr>
        <w:spacing w:after="0" w:line="240" w:lineRule="auto"/>
        <w:rPr>
          <w:rFonts w:cs="Calibri"/>
          <w:color w:val="auto"/>
        </w:rPr>
      </w:pPr>
    </w:p>
    <w:p w14:paraId="4F1C64D7" w14:textId="3E16C3DD" w:rsidR="007562E9" w:rsidRPr="00C97D84" w:rsidRDefault="001A2649" w:rsidP="001C1C52">
      <w:pPr>
        <w:pStyle w:val="TOCI"/>
        <w:numPr>
          <w:ilvl w:val="0"/>
          <w:numId w:val="0"/>
        </w:numPr>
        <w:spacing w:after="0" w:line="240" w:lineRule="auto"/>
        <w:rPr>
          <w:rFonts w:cs="Calibri"/>
          <w:color w:val="auto"/>
        </w:rPr>
      </w:pPr>
      <w:r w:rsidRPr="00A94AAB">
        <w:rPr>
          <w:rFonts w:cs="Calibri"/>
          <w:color w:val="auto"/>
        </w:rPr>
        <w:t xml:space="preserve">The City of Houston will administer its </w:t>
      </w:r>
      <w:r w:rsidR="00636655">
        <w:rPr>
          <w:rFonts w:cs="Calibri"/>
          <w:color w:val="auto"/>
        </w:rPr>
        <w:t>MVB p</w:t>
      </w:r>
      <w:r w:rsidRPr="00A94AAB">
        <w:rPr>
          <w:rFonts w:cs="Calibri"/>
          <w:color w:val="auto"/>
        </w:rPr>
        <w:t xml:space="preserve">rogram in accordance with these </w:t>
      </w:r>
      <w:r w:rsidRPr="0060036D">
        <w:rPr>
          <w:rFonts w:cs="Calibri"/>
          <w:i/>
          <w:iCs w:val="0"/>
          <w:color w:val="auto"/>
        </w:rPr>
        <w:t>Multifamily Voluntary Buyout Program Guidelines</w:t>
      </w:r>
      <w:r w:rsidRPr="00A94AAB">
        <w:rPr>
          <w:rFonts w:cs="Calibri"/>
          <w:color w:val="auto"/>
        </w:rPr>
        <w:t xml:space="preserve">, City of Houston Standard Operating Procedures, and HUD CDBG-DR regulatory requirements and guidance. </w:t>
      </w:r>
    </w:p>
    <w:p w14:paraId="59BC19D8" w14:textId="7F374EA8" w:rsidR="00701DA0" w:rsidRDefault="00701DA0" w:rsidP="001C1C52">
      <w:pPr>
        <w:pStyle w:val="Title"/>
        <w:spacing w:before="240" w:after="0"/>
        <w:outlineLvl w:val="0"/>
        <w:rPr>
          <w:rStyle w:val="IntenseReference"/>
          <w:rFonts w:ascii="Calibri" w:hAnsi="Calibri" w:cs="Calibri"/>
          <w:b w:val="0"/>
          <w:bCs w:val="0"/>
          <w:iCs/>
          <w:smallCaps/>
          <w:color w:val="0070C0"/>
          <w:sz w:val="36"/>
          <w:szCs w:val="36"/>
        </w:rPr>
      </w:pPr>
      <w:bookmarkStart w:id="9" w:name="_Toc8137170"/>
      <w:bookmarkStart w:id="10" w:name="_Toc22628974"/>
      <w:r>
        <w:rPr>
          <w:rStyle w:val="IntenseReference"/>
          <w:rFonts w:ascii="Calibri" w:hAnsi="Calibri" w:cs="Calibri"/>
          <w:b w:val="0"/>
          <w:bCs w:val="0"/>
          <w:color w:val="0070C0"/>
          <w:sz w:val="36"/>
          <w:szCs w:val="36"/>
        </w:rPr>
        <w:t>Roles and Responsibilities</w:t>
      </w:r>
      <w:bookmarkEnd w:id="9"/>
      <w:bookmarkEnd w:id="10"/>
    </w:p>
    <w:p w14:paraId="7BEBFDC5" w14:textId="1E97D6BA" w:rsidR="007562E9" w:rsidRDefault="00701DA0" w:rsidP="001C1C52">
      <w:pPr>
        <w:pStyle w:val="TOCI"/>
        <w:numPr>
          <w:ilvl w:val="0"/>
          <w:numId w:val="0"/>
        </w:numPr>
        <w:spacing w:after="0" w:line="240" w:lineRule="auto"/>
        <w:rPr>
          <w:rFonts w:cs="Calibri"/>
          <w:color w:val="auto"/>
        </w:rPr>
      </w:pPr>
      <w:r w:rsidRPr="00A94AAB">
        <w:rPr>
          <w:rFonts w:cs="Calibri"/>
          <w:color w:val="auto"/>
        </w:rPr>
        <w:t xml:space="preserve">Daily administration of the </w:t>
      </w:r>
      <w:r w:rsidR="00636655">
        <w:rPr>
          <w:rFonts w:cs="Calibri"/>
          <w:color w:val="auto"/>
        </w:rPr>
        <w:t>MVB program</w:t>
      </w:r>
      <w:r w:rsidR="00636655" w:rsidRPr="00A94AAB">
        <w:rPr>
          <w:rFonts w:cs="Calibri"/>
          <w:color w:val="auto"/>
        </w:rPr>
        <w:t xml:space="preserve"> </w:t>
      </w:r>
      <w:r w:rsidRPr="00A94AAB">
        <w:rPr>
          <w:rFonts w:cs="Calibri"/>
          <w:color w:val="auto"/>
        </w:rPr>
        <w:t xml:space="preserve">will be under the direct supervision of the Director of HCDD, or their designee within the Public Facilities Division. The HCDD Public Facilities Division </w:t>
      </w:r>
      <w:r w:rsidR="00CF4F14">
        <w:rPr>
          <w:rFonts w:cs="Calibri"/>
          <w:color w:val="auto"/>
        </w:rPr>
        <w:t xml:space="preserve">in collaboration with HPW </w:t>
      </w:r>
      <w:r w:rsidRPr="00A94AAB">
        <w:rPr>
          <w:rFonts w:cs="Calibri"/>
          <w:color w:val="auto"/>
        </w:rPr>
        <w:t xml:space="preserve">will be responsible for eligibility determination, inspection and environmental protocols, contract and contractor assignment, construction, and completion. The HCDD Finance Division will authorize payments to contractors after review and validation of submitted invoice packages by the </w:t>
      </w:r>
      <w:r w:rsidR="00734883">
        <w:rPr>
          <w:rFonts w:cs="Calibri"/>
          <w:color w:val="auto"/>
        </w:rPr>
        <w:t>Public Facilities</w:t>
      </w:r>
      <w:r w:rsidRPr="00A94AAB">
        <w:rPr>
          <w:rFonts w:cs="Calibri"/>
          <w:color w:val="auto"/>
        </w:rPr>
        <w:t xml:space="preserve"> Division.</w:t>
      </w:r>
    </w:p>
    <w:p w14:paraId="4CF65B0C" w14:textId="35A470D6" w:rsidR="00A94AAB" w:rsidRPr="00C97D84" w:rsidRDefault="00A94AAB" w:rsidP="001C1C52">
      <w:pPr>
        <w:pStyle w:val="Title"/>
        <w:spacing w:before="240" w:after="0"/>
        <w:outlineLvl w:val="0"/>
        <w:rPr>
          <w:rStyle w:val="IntenseReference"/>
          <w:rFonts w:ascii="Calibri" w:hAnsi="Calibri" w:cs="Calibri"/>
          <w:b w:val="0"/>
          <w:bCs w:val="0"/>
          <w:color w:val="0070C0"/>
          <w:sz w:val="36"/>
          <w:szCs w:val="36"/>
        </w:rPr>
      </w:pPr>
      <w:bookmarkStart w:id="11" w:name="_Toc8137171"/>
      <w:bookmarkStart w:id="12" w:name="_Toc22628975"/>
      <w:r w:rsidRPr="00C97D84">
        <w:rPr>
          <w:rStyle w:val="IntenseReference"/>
          <w:rFonts w:ascii="Calibri" w:hAnsi="Calibri" w:cs="Calibri"/>
          <w:b w:val="0"/>
          <w:bCs w:val="0"/>
          <w:color w:val="0070C0"/>
          <w:sz w:val="36"/>
          <w:szCs w:val="36"/>
        </w:rPr>
        <w:t>CDBG-DR National Objectives</w:t>
      </w:r>
      <w:bookmarkEnd w:id="11"/>
      <w:bookmarkEnd w:id="12"/>
    </w:p>
    <w:p w14:paraId="220FC47C" w14:textId="4EA3BD8E" w:rsidR="00A94AAB" w:rsidRPr="00CA5D16" w:rsidRDefault="00A94AAB" w:rsidP="00CA5D16">
      <w:pPr>
        <w:pStyle w:val="TOCI"/>
        <w:numPr>
          <w:ilvl w:val="0"/>
          <w:numId w:val="0"/>
        </w:numPr>
        <w:spacing w:after="0" w:line="240" w:lineRule="auto"/>
        <w:rPr>
          <w:rFonts w:cs="Calibri"/>
          <w:color w:val="auto"/>
        </w:rPr>
      </w:pPr>
      <w:r w:rsidRPr="00CA5D16">
        <w:rPr>
          <w:rFonts w:cs="Calibri"/>
          <w:color w:val="auto"/>
        </w:rPr>
        <w:t xml:space="preserve">In support of the </w:t>
      </w:r>
      <w:r w:rsidR="00E56875">
        <w:rPr>
          <w:rFonts w:cs="Calibri"/>
          <w:color w:val="auto"/>
        </w:rPr>
        <w:t>HUD’s</w:t>
      </w:r>
      <w:r w:rsidRPr="00CA5D16">
        <w:rPr>
          <w:rFonts w:cs="Calibri"/>
          <w:color w:val="auto"/>
        </w:rPr>
        <w:t xml:space="preserve"> </w:t>
      </w:r>
      <w:r w:rsidR="004A469C" w:rsidRPr="00CA5D16">
        <w:rPr>
          <w:rFonts w:cs="Calibri"/>
          <w:color w:val="auto"/>
        </w:rPr>
        <w:t xml:space="preserve">buyout </w:t>
      </w:r>
      <w:r w:rsidRPr="00CA5D16">
        <w:rPr>
          <w:rFonts w:cs="Calibri"/>
          <w:color w:val="auto"/>
        </w:rPr>
        <w:t xml:space="preserve">objectives, the City of Houston has specifically designed its </w:t>
      </w:r>
      <w:r w:rsidR="004D4A6B" w:rsidRPr="00CA5D16">
        <w:rPr>
          <w:rFonts w:cs="Calibri"/>
          <w:color w:val="auto"/>
        </w:rPr>
        <w:t>voluntary buyout</w:t>
      </w:r>
      <w:r w:rsidRPr="00CA5D16">
        <w:rPr>
          <w:rFonts w:cs="Calibri"/>
          <w:color w:val="auto"/>
        </w:rPr>
        <w:t xml:space="preserve"> programs to help impacted </w:t>
      </w:r>
      <w:r w:rsidR="004D4A6B" w:rsidRPr="00CA5D16">
        <w:rPr>
          <w:rFonts w:cs="Calibri"/>
          <w:color w:val="auto"/>
        </w:rPr>
        <w:t xml:space="preserve">multifamily developers </w:t>
      </w:r>
      <w:r w:rsidRPr="00CA5D16">
        <w:rPr>
          <w:rFonts w:cs="Calibri"/>
          <w:color w:val="auto"/>
        </w:rPr>
        <w:t>recover from damage inflicted by</w:t>
      </w:r>
      <w:r w:rsidR="005A5499" w:rsidRPr="00CA5D16">
        <w:rPr>
          <w:rFonts w:cs="Calibri"/>
          <w:color w:val="auto"/>
        </w:rPr>
        <w:t xml:space="preserve"> </w:t>
      </w:r>
      <w:r w:rsidR="005441C1" w:rsidRPr="0060036D">
        <w:rPr>
          <w:rFonts w:cs="Calibri"/>
          <w:color w:val="auto"/>
        </w:rPr>
        <w:t xml:space="preserve">the </w:t>
      </w:r>
      <w:r w:rsidR="00EE6F14" w:rsidRPr="0060036D">
        <w:rPr>
          <w:rFonts w:cs="Calibri"/>
          <w:color w:val="auto"/>
        </w:rPr>
        <w:t>2016 Flood</w:t>
      </w:r>
      <w:r w:rsidR="00311632" w:rsidRPr="0060036D">
        <w:rPr>
          <w:rFonts w:cs="Calibri"/>
          <w:color w:val="auto"/>
        </w:rPr>
        <w:t xml:space="preserve"> Events</w:t>
      </w:r>
      <w:r w:rsidRPr="00CA5D16">
        <w:rPr>
          <w:rFonts w:cs="Calibri"/>
          <w:color w:val="auto"/>
        </w:rPr>
        <w:t xml:space="preserve">. As expressed in the </w:t>
      </w:r>
      <w:r w:rsidR="00A01EDB">
        <w:rPr>
          <w:rFonts w:cs="Calibri"/>
          <w:color w:val="auto"/>
        </w:rPr>
        <w:t>f</w:t>
      </w:r>
      <w:r w:rsidRPr="00CA5D16">
        <w:rPr>
          <w:rFonts w:cs="Calibri"/>
          <w:color w:val="auto"/>
        </w:rPr>
        <w:t>ederal Housing and Community Development Act</w:t>
      </w:r>
      <w:r w:rsidR="00636655">
        <w:rPr>
          <w:rFonts w:cs="Calibri"/>
          <w:color w:val="auto"/>
        </w:rPr>
        <w:t xml:space="preserve"> of 1974, Pub. L. 93-383, 88 Stat. 633-2 (codified as amended at 42 U.S.C. §§ 5301-5321) (the “HCDA”)</w:t>
      </w:r>
      <w:r w:rsidRPr="00CA5D16">
        <w:rPr>
          <w:rFonts w:cs="Calibri"/>
          <w:color w:val="auto"/>
        </w:rPr>
        <w:t>, the primary objective of the general Community Development Block Grant (</w:t>
      </w:r>
      <w:r w:rsidR="00E56875">
        <w:rPr>
          <w:rFonts w:cs="Calibri"/>
          <w:color w:val="auto"/>
        </w:rPr>
        <w:t>“</w:t>
      </w:r>
      <w:r w:rsidRPr="00CA5D16">
        <w:rPr>
          <w:rFonts w:cs="Calibri"/>
          <w:color w:val="auto"/>
        </w:rPr>
        <w:t>CDBG</w:t>
      </w:r>
      <w:r w:rsidR="00E56875">
        <w:rPr>
          <w:rFonts w:cs="Calibri"/>
          <w:color w:val="auto"/>
        </w:rPr>
        <w:t>”</w:t>
      </w:r>
      <w:r w:rsidRPr="00CA5D16">
        <w:rPr>
          <w:rFonts w:cs="Calibri"/>
          <w:color w:val="auto"/>
        </w:rPr>
        <w:t>) program is “the development of viable urban communities by providing decent housing and a suitable living environment and expanding economic opportunities, principally for persons of low-and moderate -income (</w:t>
      </w:r>
      <w:r w:rsidR="00E56875">
        <w:rPr>
          <w:rFonts w:cs="Calibri"/>
          <w:color w:val="auto"/>
        </w:rPr>
        <w:t>“”</w:t>
      </w:r>
      <w:r w:rsidRPr="00CA5D16">
        <w:rPr>
          <w:rFonts w:cs="Calibri"/>
          <w:color w:val="auto"/>
        </w:rPr>
        <w:t xml:space="preserve">).” Community Development Block Grant – Disaster Recovery funding appropriated in response to disasters must meet the general goals of the CDBG program. </w:t>
      </w:r>
    </w:p>
    <w:p w14:paraId="51F19CD1" w14:textId="77777777" w:rsidR="00A94AAB" w:rsidRPr="00CA5D16" w:rsidRDefault="00A94AAB" w:rsidP="00CA5D16">
      <w:pPr>
        <w:pStyle w:val="TOCI"/>
        <w:numPr>
          <w:ilvl w:val="0"/>
          <w:numId w:val="0"/>
        </w:numPr>
        <w:spacing w:after="0" w:line="240" w:lineRule="auto"/>
        <w:rPr>
          <w:rFonts w:cs="Calibri"/>
          <w:color w:val="auto"/>
        </w:rPr>
      </w:pPr>
    </w:p>
    <w:p w14:paraId="3D19DA9D" w14:textId="4E1EEFB3" w:rsidR="00A94AAB" w:rsidRPr="00CA5D16" w:rsidRDefault="00A94AAB" w:rsidP="00CA5D16">
      <w:pPr>
        <w:pStyle w:val="TOCI"/>
        <w:numPr>
          <w:ilvl w:val="0"/>
          <w:numId w:val="0"/>
        </w:numPr>
        <w:spacing w:after="0" w:line="240" w:lineRule="auto"/>
        <w:rPr>
          <w:rFonts w:cs="Calibri"/>
          <w:color w:val="auto"/>
        </w:rPr>
      </w:pPr>
      <w:r w:rsidRPr="00CA5D16">
        <w:rPr>
          <w:rFonts w:cs="Calibri"/>
          <w:color w:val="auto"/>
        </w:rPr>
        <w:t>All CDBG-DR funded activities through the City of Houston Multi</w:t>
      </w:r>
      <w:r w:rsidR="00E12EE2">
        <w:rPr>
          <w:rFonts w:cs="Calibri"/>
          <w:color w:val="auto"/>
        </w:rPr>
        <w:t>f</w:t>
      </w:r>
      <w:r w:rsidR="007614E9" w:rsidRPr="00CA5D16">
        <w:rPr>
          <w:rFonts w:cs="Calibri"/>
          <w:color w:val="auto"/>
        </w:rPr>
        <w:t>amily</w:t>
      </w:r>
      <w:r w:rsidRPr="00CA5D16">
        <w:rPr>
          <w:rFonts w:cs="Calibri"/>
          <w:color w:val="auto"/>
        </w:rPr>
        <w:t xml:space="preserve"> </w:t>
      </w:r>
      <w:r w:rsidR="005A5499" w:rsidRPr="00CA5D16">
        <w:rPr>
          <w:rFonts w:cs="Calibri"/>
          <w:color w:val="auto"/>
        </w:rPr>
        <w:t xml:space="preserve">Voluntary Buyout </w:t>
      </w:r>
      <w:r w:rsidR="00A01EDB">
        <w:rPr>
          <w:rFonts w:cs="Calibri"/>
          <w:color w:val="auto"/>
        </w:rPr>
        <w:t>p</w:t>
      </w:r>
      <w:r w:rsidRPr="00CA5D16">
        <w:rPr>
          <w:rFonts w:cs="Calibri"/>
          <w:color w:val="auto"/>
        </w:rPr>
        <w:t xml:space="preserve">rogram </w:t>
      </w:r>
      <w:r w:rsidR="00311632">
        <w:rPr>
          <w:rFonts w:cs="Calibri"/>
          <w:color w:val="auto"/>
        </w:rPr>
        <w:t xml:space="preserve">will </w:t>
      </w:r>
      <w:r w:rsidRPr="00CA5D16">
        <w:rPr>
          <w:rFonts w:cs="Calibri"/>
          <w:color w:val="auto"/>
        </w:rPr>
        <w:t xml:space="preserve">meet the </w:t>
      </w:r>
      <w:r w:rsidR="00A01EDB">
        <w:rPr>
          <w:rFonts w:cs="Calibri"/>
          <w:color w:val="auto"/>
        </w:rPr>
        <w:t xml:space="preserve">following </w:t>
      </w:r>
      <w:r w:rsidRPr="00CA5D16">
        <w:rPr>
          <w:rFonts w:cs="Calibri"/>
          <w:color w:val="auto"/>
        </w:rPr>
        <w:t xml:space="preserve">National Objective defined in the </w:t>
      </w:r>
      <w:r w:rsidR="00A01EDB">
        <w:rPr>
          <w:rFonts w:cs="Calibri"/>
          <w:color w:val="auto"/>
        </w:rPr>
        <w:t>federal CDBG regulations</w:t>
      </w:r>
      <w:r w:rsidRPr="00CA5D16">
        <w:rPr>
          <w:rFonts w:cs="Calibri"/>
          <w:color w:val="auto"/>
        </w:rPr>
        <w:t xml:space="preserve">: </w:t>
      </w:r>
    </w:p>
    <w:p w14:paraId="1CE9B191" w14:textId="13DE7C59" w:rsidR="008A65BE" w:rsidRDefault="008A65BE" w:rsidP="00924240">
      <w:pPr>
        <w:pStyle w:val="TOCI"/>
        <w:numPr>
          <w:ilvl w:val="0"/>
          <w:numId w:val="29"/>
        </w:numPr>
        <w:spacing w:after="0" w:line="240" w:lineRule="auto"/>
        <w:rPr>
          <w:rFonts w:cs="Calibri"/>
          <w:color w:val="auto"/>
        </w:rPr>
      </w:pPr>
      <w:r>
        <w:rPr>
          <w:rFonts w:cs="Calibri"/>
          <w:color w:val="auto"/>
        </w:rPr>
        <w:t>Benefiting Low- to Moderate-</w:t>
      </w:r>
      <w:r w:rsidR="00E56875">
        <w:rPr>
          <w:rFonts w:cs="Calibri"/>
          <w:color w:val="auto"/>
        </w:rPr>
        <w:t>Inc</w:t>
      </w:r>
      <w:r>
        <w:rPr>
          <w:rFonts w:cs="Calibri"/>
          <w:color w:val="auto"/>
        </w:rPr>
        <w:t>ome</w:t>
      </w:r>
      <w:r w:rsidR="00E56875">
        <w:rPr>
          <w:rFonts w:cs="Calibri"/>
          <w:color w:val="auto"/>
        </w:rPr>
        <w:t xml:space="preserve"> (“LMI”)</w:t>
      </w:r>
      <w:r>
        <w:rPr>
          <w:rFonts w:cs="Calibri"/>
          <w:color w:val="auto"/>
        </w:rPr>
        <w:t xml:space="preserve"> </w:t>
      </w:r>
      <w:r w:rsidR="00E56875">
        <w:rPr>
          <w:rFonts w:cs="Calibri"/>
          <w:color w:val="auto"/>
        </w:rPr>
        <w:t>p</w:t>
      </w:r>
      <w:r>
        <w:rPr>
          <w:rFonts w:cs="Calibri"/>
          <w:color w:val="auto"/>
        </w:rPr>
        <w:t xml:space="preserve">ersons </w:t>
      </w:r>
    </w:p>
    <w:p w14:paraId="453CB7D4" w14:textId="31A26752" w:rsidR="004207B7" w:rsidRDefault="00E56875" w:rsidP="00BC0AC1">
      <w:pPr>
        <w:pStyle w:val="TOCI"/>
        <w:numPr>
          <w:ilvl w:val="1"/>
          <w:numId w:val="29"/>
        </w:numPr>
        <w:spacing w:after="0" w:line="240" w:lineRule="auto"/>
        <w:rPr>
          <w:rFonts w:cs="Calibri"/>
          <w:color w:val="auto"/>
        </w:rPr>
      </w:pPr>
      <w:r>
        <w:rPr>
          <w:rFonts w:cs="Calibri"/>
          <w:color w:val="auto"/>
        </w:rPr>
        <w:t>LMI</w:t>
      </w:r>
      <w:r w:rsidR="005A5499" w:rsidRPr="004207B7">
        <w:rPr>
          <w:rFonts w:cs="Calibri"/>
          <w:color w:val="auto"/>
        </w:rPr>
        <w:t xml:space="preserve"> Area Benefit – (</w:t>
      </w:r>
      <w:r w:rsidR="00571C69" w:rsidRPr="004207B7">
        <w:rPr>
          <w:rFonts w:cs="Calibri"/>
          <w:color w:val="auto"/>
        </w:rPr>
        <w:t>because</w:t>
      </w:r>
      <w:r w:rsidR="005A5499" w:rsidRPr="004207B7">
        <w:rPr>
          <w:rFonts w:cs="Calibri"/>
          <w:color w:val="auto"/>
        </w:rPr>
        <w:t xml:space="preserve"> the a</w:t>
      </w:r>
      <w:r w:rsidR="00144CF3" w:rsidRPr="004207B7">
        <w:rPr>
          <w:rFonts w:cs="Calibri"/>
          <w:color w:val="auto"/>
        </w:rPr>
        <w:t>rea will be maintained as green</w:t>
      </w:r>
      <w:r w:rsidR="005A5499" w:rsidRPr="004207B7">
        <w:rPr>
          <w:rFonts w:cs="Calibri"/>
          <w:color w:val="auto"/>
        </w:rPr>
        <w:t>space</w:t>
      </w:r>
      <w:r w:rsidR="00B1043E" w:rsidRPr="004207B7">
        <w:rPr>
          <w:rFonts w:cs="Calibri"/>
          <w:color w:val="auto"/>
        </w:rPr>
        <w:t>s and/or detention</w:t>
      </w:r>
      <w:r w:rsidR="00151874">
        <w:rPr>
          <w:rFonts w:cs="Calibri"/>
          <w:color w:val="auto"/>
        </w:rPr>
        <w:t>,</w:t>
      </w:r>
      <w:r w:rsidR="005A5499" w:rsidRPr="00685707">
        <w:rPr>
          <w:rFonts w:cs="Calibri"/>
          <w:color w:val="auto"/>
        </w:rPr>
        <w:t xml:space="preserve"> which</w:t>
      </w:r>
      <w:r w:rsidR="00D56D34" w:rsidRPr="00685707">
        <w:rPr>
          <w:rFonts w:cs="Calibri"/>
          <w:color w:val="auto"/>
        </w:rPr>
        <w:t xml:space="preserve"> </w:t>
      </w:r>
      <w:r w:rsidR="00151874">
        <w:rPr>
          <w:rFonts w:cs="Calibri"/>
          <w:color w:val="auto"/>
        </w:rPr>
        <w:t xml:space="preserve">will </w:t>
      </w:r>
      <w:r w:rsidR="005A5499" w:rsidRPr="00685707">
        <w:rPr>
          <w:rFonts w:cs="Calibri"/>
          <w:color w:val="auto"/>
        </w:rPr>
        <w:t>benefit</w:t>
      </w:r>
      <w:r w:rsidR="00151874">
        <w:rPr>
          <w:rFonts w:cs="Calibri"/>
          <w:color w:val="auto"/>
        </w:rPr>
        <w:t xml:space="preserve"> 70 % of</w:t>
      </w:r>
      <w:r w:rsidR="005A5499" w:rsidRPr="00685707">
        <w:rPr>
          <w:rFonts w:cs="Calibri"/>
          <w:color w:val="auto"/>
        </w:rPr>
        <w:t xml:space="preserve"> </w:t>
      </w:r>
      <w:r w:rsidR="00D56D34" w:rsidRPr="00685707">
        <w:rPr>
          <w:rFonts w:cs="Calibri"/>
          <w:color w:val="auto"/>
        </w:rPr>
        <w:t>the residential service area</w:t>
      </w:r>
      <w:r w:rsidR="00B1043E" w:rsidRPr="00685707">
        <w:rPr>
          <w:rFonts w:cs="Calibri"/>
          <w:color w:val="auto"/>
        </w:rPr>
        <w:t>)</w:t>
      </w:r>
    </w:p>
    <w:p w14:paraId="72E85089" w14:textId="6A31E940" w:rsidR="004207B7" w:rsidRPr="00B50A4B" w:rsidRDefault="004207B7" w:rsidP="00685707">
      <w:pPr>
        <w:pStyle w:val="TOCI"/>
        <w:numPr>
          <w:ilvl w:val="0"/>
          <w:numId w:val="0"/>
        </w:numPr>
        <w:spacing w:after="0" w:line="240" w:lineRule="auto"/>
        <w:rPr>
          <w:rFonts w:cs="Calibri"/>
          <w:color w:val="auto"/>
        </w:rPr>
      </w:pPr>
    </w:p>
    <w:p w14:paraId="0483AEE2" w14:textId="3B5E09BB" w:rsidR="007562E9" w:rsidRPr="00D919D1" w:rsidRDefault="00311632" w:rsidP="00D919D1">
      <w:pPr>
        <w:pStyle w:val="TOCI"/>
        <w:numPr>
          <w:ilvl w:val="0"/>
          <w:numId w:val="0"/>
        </w:numPr>
        <w:spacing w:after="0" w:line="240" w:lineRule="auto"/>
        <w:rPr>
          <w:rFonts w:cs="Calibri"/>
          <w:color w:val="auto"/>
        </w:rPr>
      </w:pPr>
      <w:r w:rsidRPr="00627E94">
        <w:rPr>
          <w:rFonts w:cs="Calibri"/>
          <w:color w:val="auto"/>
        </w:rPr>
        <w:t>The 2016 Flood</w:t>
      </w:r>
      <w:r w:rsidR="00356C2A">
        <w:rPr>
          <w:rFonts w:cs="Calibri"/>
          <w:color w:val="auto"/>
        </w:rPr>
        <w:t xml:space="preserve"> program</w:t>
      </w:r>
      <w:r>
        <w:rPr>
          <w:rFonts w:cs="Calibri"/>
          <w:color w:val="auto"/>
        </w:rPr>
        <w:t xml:space="preserve"> that will address a</w:t>
      </w:r>
      <w:r w:rsidR="00A94AAB" w:rsidRPr="00CA5D16">
        <w:rPr>
          <w:rFonts w:cs="Calibri"/>
          <w:color w:val="auto"/>
        </w:rPr>
        <w:t>ll activities funded through the City of Houston Mult</w:t>
      </w:r>
      <w:r w:rsidR="00E12EE2">
        <w:rPr>
          <w:rFonts w:cs="Calibri"/>
          <w:color w:val="auto"/>
        </w:rPr>
        <w:t>if</w:t>
      </w:r>
      <w:r w:rsidR="007614E9" w:rsidRPr="00CA5D16">
        <w:rPr>
          <w:rFonts w:cs="Calibri"/>
          <w:color w:val="auto"/>
        </w:rPr>
        <w:t>amily</w:t>
      </w:r>
      <w:r w:rsidR="00A94AAB" w:rsidRPr="00CA5D16">
        <w:rPr>
          <w:rFonts w:cs="Calibri"/>
          <w:color w:val="auto"/>
        </w:rPr>
        <w:t xml:space="preserve"> </w:t>
      </w:r>
      <w:r w:rsidR="005A5499" w:rsidRPr="00CA5D16">
        <w:rPr>
          <w:rFonts w:cs="Calibri"/>
          <w:color w:val="auto"/>
        </w:rPr>
        <w:t xml:space="preserve">Voluntary Buyout </w:t>
      </w:r>
      <w:r w:rsidR="00A94AAB" w:rsidRPr="00CA5D16">
        <w:rPr>
          <w:rFonts w:cs="Calibri"/>
          <w:color w:val="auto"/>
        </w:rPr>
        <w:t>Program, unless the requirement is waived by HUD</w:t>
      </w:r>
      <w:r w:rsidR="00181F15">
        <w:rPr>
          <w:rFonts w:cs="Calibri"/>
          <w:color w:val="auto"/>
        </w:rPr>
        <w:t>.</w:t>
      </w:r>
    </w:p>
    <w:p w14:paraId="4DFD4CDC" w14:textId="77777777" w:rsidR="008A65BE" w:rsidRPr="00C97D84" w:rsidRDefault="008A65BE" w:rsidP="000307CA">
      <w:pPr>
        <w:autoSpaceDE w:val="0"/>
        <w:autoSpaceDN w:val="0"/>
        <w:adjustRightInd w:val="0"/>
        <w:spacing w:after="0" w:line="240" w:lineRule="auto"/>
        <w:rPr>
          <w:rFonts w:ascii="Calibri" w:eastAsiaTheme="minorEastAsia" w:hAnsi="Calibri" w:cs="Calibri"/>
          <w:sz w:val="24"/>
          <w:szCs w:val="24"/>
        </w:rPr>
      </w:pPr>
    </w:p>
    <w:p w14:paraId="40F80790" w14:textId="58884C93" w:rsidR="00A94AAB" w:rsidRPr="00C97D84" w:rsidRDefault="00A94AAB" w:rsidP="000307CA">
      <w:pPr>
        <w:pStyle w:val="Title"/>
        <w:spacing w:after="0"/>
        <w:outlineLvl w:val="0"/>
        <w:rPr>
          <w:rStyle w:val="IntenseReference"/>
          <w:rFonts w:ascii="Calibri" w:hAnsi="Calibri" w:cs="Calibri"/>
          <w:b w:val="0"/>
          <w:bCs w:val="0"/>
          <w:color w:val="0070C0"/>
          <w:sz w:val="36"/>
          <w:szCs w:val="36"/>
        </w:rPr>
      </w:pPr>
      <w:bookmarkStart w:id="13" w:name="_Toc8137172"/>
      <w:bookmarkStart w:id="14" w:name="_Toc22628976"/>
      <w:r w:rsidRPr="00C97D84">
        <w:rPr>
          <w:rStyle w:val="IntenseReference"/>
          <w:rFonts w:ascii="Calibri" w:hAnsi="Calibri" w:cs="Calibri"/>
          <w:b w:val="0"/>
          <w:bCs w:val="0"/>
          <w:color w:val="0070C0"/>
          <w:sz w:val="36"/>
          <w:szCs w:val="36"/>
        </w:rPr>
        <w:t>Applicable Laws &amp; Regulations</w:t>
      </w:r>
      <w:bookmarkEnd w:id="13"/>
      <w:bookmarkEnd w:id="14"/>
    </w:p>
    <w:tbl>
      <w:tblPr>
        <w:tblStyle w:val="TableGrid"/>
        <w:tblW w:w="10260" w:type="dxa"/>
        <w:tblInd w:w="-5" w:type="dxa"/>
        <w:tblLook w:val="04A0" w:firstRow="1" w:lastRow="0" w:firstColumn="1" w:lastColumn="0" w:noHBand="0" w:noVBand="1"/>
      </w:tblPr>
      <w:tblGrid>
        <w:gridCol w:w="2430"/>
        <w:gridCol w:w="1440"/>
        <w:gridCol w:w="1440"/>
        <w:gridCol w:w="4950"/>
      </w:tblGrid>
      <w:tr w:rsidR="00214BD2" w:rsidRPr="00C97D84" w14:paraId="111EF1F0" w14:textId="77777777" w:rsidTr="0060036D">
        <w:tc>
          <w:tcPr>
            <w:tcW w:w="2430" w:type="dxa"/>
            <w:shd w:val="clear" w:color="auto" w:fill="D9D9D9" w:themeFill="background1" w:themeFillShade="D9"/>
          </w:tcPr>
          <w:p w14:paraId="6F72D79B" w14:textId="77777777" w:rsidR="00214BD2" w:rsidRPr="00A22500" w:rsidRDefault="00214BD2" w:rsidP="00F8485B">
            <w:pPr>
              <w:spacing w:after="0" w:line="240" w:lineRule="auto"/>
              <w:jc w:val="center"/>
              <w:rPr>
                <w:rFonts w:ascii="Calibri" w:hAnsi="Calibri" w:cs="Calibri"/>
                <w:b/>
              </w:rPr>
            </w:pPr>
            <w:bookmarkStart w:id="15" w:name="_Hlk5031935"/>
            <w:r w:rsidRPr="00A22500">
              <w:rPr>
                <w:rFonts w:ascii="Calibri" w:hAnsi="Calibri" w:cs="Calibri"/>
                <w:b/>
              </w:rPr>
              <w:t>Federal Register (FR)</w:t>
            </w:r>
          </w:p>
        </w:tc>
        <w:tc>
          <w:tcPr>
            <w:tcW w:w="1440" w:type="dxa"/>
            <w:shd w:val="clear" w:color="auto" w:fill="D9D9D9" w:themeFill="background1" w:themeFillShade="D9"/>
          </w:tcPr>
          <w:p w14:paraId="23C64CF9" w14:textId="77777777" w:rsidR="00214BD2" w:rsidRPr="00A22500" w:rsidRDefault="00214BD2" w:rsidP="00F8485B">
            <w:pPr>
              <w:spacing w:after="0" w:line="240" w:lineRule="auto"/>
              <w:jc w:val="center"/>
              <w:rPr>
                <w:rFonts w:ascii="Calibri" w:hAnsi="Calibri" w:cs="Calibri"/>
                <w:b/>
              </w:rPr>
            </w:pPr>
            <w:r w:rsidRPr="00A22500">
              <w:rPr>
                <w:rFonts w:ascii="Calibri" w:hAnsi="Calibri" w:cs="Calibri"/>
                <w:b/>
              </w:rPr>
              <w:t>Date of Publication</w:t>
            </w:r>
          </w:p>
        </w:tc>
        <w:tc>
          <w:tcPr>
            <w:tcW w:w="1440" w:type="dxa"/>
            <w:shd w:val="clear" w:color="auto" w:fill="D9D9D9" w:themeFill="background1" w:themeFillShade="D9"/>
          </w:tcPr>
          <w:p w14:paraId="0983A315" w14:textId="77777777" w:rsidR="00214BD2" w:rsidRPr="00A22500" w:rsidRDefault="00214BD2" w:rsidP="00F8485B">
            <w:pPr>
              <w:spacing w:after="0" w:line="240" w:lineRule="auto"/>
              <w:jc w:val="center"/>
              <w:rPr>
                <w:rFonts w:ascii="Calibri" w:hAnsi="Calibri" w:cs="Calibri"/>
                <w:b/>
              </w:rPr>
            </w:pPr>
            <w:r w:rsidRPr="00A22500">
              <w:rPr>
                <w:rFonts w:ascii="Calibri" w:hAnsi="Calibri" w:cs="Calibri"/>
                <w:b/>
              </w:rPr>
              <w:t>Public Laws</w:t>
            </w:r>
          </w:p>
        </w:tc>
        <w:tc>
          <w:tcPr>
            <w:tcW w:w="4950" w:type="dxa"/>
            <w:shd w:val="clear" w:color="auto" w:fill="D9D9D9" w:themeFill="background1" w:themeFillShade="D9"/>
          </w:tcPr>
          <w:p w14:paraId="1A142011" w14:textId="77777777" w:rsidR="00214BD2" w:rsidRPr="00A22500" w:rsidRDefault="00214BD2" w:rsidP="00F8485B">
            <w:pPr>
              <w:spacing w:after="0" w:line="240" w:lineRule="auto"/>
              <w:jc w:val="center"/>
              <w:rPr>
                <w:rFonts w:ascii="Calibri" w:hAnsi="Calibri" w:cs="Calibri"/>
                <w:b/>
              </w:rPr>
            </w:pPr>
            <w:r w:rsidRPr="00A22500">
              <w:rPr>
                <w:rFonts w:ascii="Calibri" w:hAnsi="Calibri" w:cs="Calibri"/>
                <w:b/>
              </w:rPr>
              <w:t>Location:</w:t>
            </w:r>
          </w:p>
        </w:tc>
      </w:tr>
      <w:tr w:rsidR="00214BD2" w:rsidRPr="00C97D84" w14:paraId="3D6FD5AC" w14:textId="77777777" w:rsidTr="0060036D">
        <w:trPr>
          <w:trHeight w:val="575"/>
        </w:trPr>
        <w:tc>
          <w:tcPr>
            <w:tcW w:w="2430" w:type="dxa"/>
          </w:tcPr>
          <w:p w14:paraId="6B343BC8" w14:textId="49D13A86" w:rsidR="00214BD2" w:rsidRPr="00A22500" w:rsidRDefault="00214BD2" w:rsidP="00F8485B">
            <w:pPr>
              <w:pStyle w:val="NormalWeb"/>
              <w:spacing w:before="0" w:beforeAutospacing="0" w:after="0" w:afterAutospacing="0"/>
              <w:rPr>
                <w:rFonts w:ascii="Calibri" w:hAnsi="Calibri" w:cs="Calibri"/>
              </w:rPr>
            </w:pPr>
            <w:r w:rsidRPr="00A22500">
              <w:rPr>
                <w:rFonts w:ascii="Calibri" w:hAnsi="Calibri" w:cs="Calibri"/>
              </w:rPr>
              <w:t>81 F</w:t>
            </w:r>
            <w:r w:rsidR="00C821F6" w:rsidRPr="00A22500">
              <w:rPr>
                <w:rFonts w:ascii="Calibri" w:hAnsi="Calibri" w:cs="Calibri"/>
              </w:rPr>
              <w:t xml:space="preserve">ed. </w:t>
            </w:r>
            <w:r w:rsidRPr="00A22500">
              <w:rPr>
                <w:rFonts w:ascii="Calibri" w:hAnsi="Calibri" w:cs="Calibri"/>
              </w:rPr>
              <w:t>R</w:t>
            </w:r>
            <w:r w:rsidR="00C821F6" w:rsidRPr="00A22500">
              <w:rPr>
                <w:rFonts w:ascii="Calibri" w:hAnsi="Calibri" w:cs="Calibri"/>
              </w:rPr>
              <w:t>eg.</w:t>
            </w:r>
            <w:r w:rsidRPr="00A22500">
              <w:rPr>
                <w:rFonts w:ascii="Calibri" w:hAnsi="Calibri" w:cs="Calibri"/>
              </w:rPr>
              <w:t xml:space="preserve"> 83254</w:t>
            </w:r>
          </w:p>
        </w:tc>
        <w:tc>
          <w:tcPr>
            <w:tcW w:w="1440" w:type="dxa"/>
          </w:tcPr>
          <w:p w14:paraId="4DE65F51" w14:textId="77777777" w:rsidR="00214BD2" w:rsidRPr="00A22500" w:rsidRDefault="00214BD2" w:rsidP="00F8485B">
            <w:pPr>
              <w:spacing w:after="0" w:line="240" w:lineRule="auto"/>
              <w:jc w:val="right"/>
              <w:rPr>
                <w:rFonts w:ascii="Calibri" w:hAnsi="Calibri" w:cs="Calibri"/>
                <w:sz w:val="24"/>
              </w:rPr>
            </w:pPr>
            <w:r w:rsidRPr="00A22500">
              <w:rPr>
                <w:rFonts w:ascii="Calibri" w:hAnsi="Calibri" w:cs="Calibri"/>
                <w:sz w:val="24"/>
              </w:rPr>
              <w:t>11/21/2016</w:t>
            </w:r>
          </w:p>
        </w:tc>
        <w:tc>
          <w:tcPr>
            <w:tcW w:w="1440" w:type="dxa"/>
          </w:tcPr>
          <w:p w14:paraId="19E3836A" w14:textId="77777777" w:rsidR="00214BD2" w:rsidRPr="00A22500" w:rsidRDefault="00214BD2" w:rsidP="00F8485B">
            <w:pPr>
              <w:pStyle w:val="NormalWeb"/>
              <w:spacing w:before="0" w:beforeAutospacing="0" w:after="0" w:afterAutospacing="0"/>
              <w:rPr>
                <w:rFonts w:ascii="Calibri" w:hAnsi="Calibri" w:cs="Calibri"/>
              </w:rPr>
            </w:pPr>
            <w:r w:rsidRPr="00A22500">
              <w:rPr>
                <w:rFonts w:ascii="Calibri" w:hAnsi="Calibri" w:cs="Calibri"/>
              </w:rPr>
              <w:t>P.L. 114-223</w:t>
            </w:r>
          </w:p>
        </w:tc>
        <w:tc>
          <w:tcPr>
            <w:tcW w:w="4950" w:type="dxa"/>
          </w:tcPr>
          <w:p w14:paraId="48353CF1" w14:textId="77777777" w:rsidR="00214BD2" w:rsidRPr="00A22500" w:rsidRDefault="00FD76D6" w:rsidP="00F8485B">
            <w:pPr>
              <w:spacing w:after="0" w:line="240" w:lineRule="auto"/>
              <w:rPr>
                <w:sz w:val="24"/>
              </w:rPr>
            </w:pPr>
            <w:hyperlink r:id="rId8" w:history="1">
              <w:r w:rsidR="00214BD2" w:rsidRPr="00A22500">
                <w:rPr>
                  <w:rStyle w:val="Hyperlink"/>
                  <w:sz w:val="24"/>
                </w:rPr>
                <w:t>https://www.federalregister.gov/d/2016-27969</w:t>
              </w:r>
            </w:hyperlink>
            <w:r w:rsidR="00214BD2" w:rsidRPr="00A22500">
              <w:rPr>
                <w:sz w:val="24"/>
              </w:rPr>
              <w:t xml:space="preserve"> </w:t>
            </w:r>
          </w:p>
        </w:tc>
      </w:tr>
      <w:tr w:rsidR="00214BD2" w:rsidRPr="00C97D84" w14:paraId="04C10DC2" w14:textId="77777777" w:rsidTr="0060036D">
        <w:tc>
          <w:tcPr>
            <w:tcW w:w="2430" w:type="dxa"/>
          </w:tcPr>
          <w:p w14:paraId="7ABB18E0" w14:textId="0ED1057B" w:rsidR="00214BD2" w:rsidRPr="00A22500" w:rsidRDefault="00214BD2" w:rsidP="00F8485B">
            <w:pPr>
              <w:pStyle w:val="NormalWeb"/>
              <w:spacing w:before="0" w:beforeAutospacing="0" w:after="0" w:afterAutospacing="0"/>
              <w:rPr>
                <w:rFonts w:ascii="Calibri" w:hAnsi="Calibri" w:cs="Calibri"/>
              </w:rPr>
            </w:pPr>
            <w:r w:rsidRPr="00A22500">
              <w:rPr>
                <w:rFonts w:ascii="Calibri" w:hAnsi="Calibri" w:cs="Calibri"/>
              </w:rPr>
              <w:lastRenderedPageBreak/>
              <w:t>82 F</w:t>
            </w:r>
            <w:r w:rsidR="00C821F6" w:rsidRPr="00A22500">
              <w:rPr>
                <w:rFonts w:ascii="Calibri" w:hAnsi="Calibri" w:cs="Calibri"/>
              </w:rPr>
              <w:t xml:space="preserve">ed. </w:t>
            </w:r>
            <w:r w:rsidRPr="00A22500">
              <w:rPr>
                <w:rFonts w:ascii="Calibri" w:hAnsi="Calibri" w:cs="Calibri"/>
              </w:rPr>
              <w:t>R</w:t>
            </w:r>
            <w:r w:rsidR="00C821F6" w:rsidRPr="00A22500">
              <w:rPr>
                <w:rFonts w:ascii="Calibri" w:hAnsi="Calibri" w:cs="Calibri"/>
              </w:rPr>
              <w:t>eg.</w:t>
            </w:r>
            <w:r w:rsidRPr="00A22500">
              <w:rPr>
                <w:rFonts w:ascii="Calibri" w:hAnsi="Calibri" w:cs="Calibri"/>
              </w:rPr>
              <w:t xml:space="preserve"> 36812</w:t>
            </w:r>
          </w:p>
          <w:p w14:paraId="06650573" w14:textId="0BEC13AA" w:rsidR="00C821F6" w:rsidRPr="00A22500" w:rsidRDefault="00C821F6" w:rsidP="00F8485B">
            <w:pPr>
              <w:pStyle w:val="NormalWeb"/>
              <w:spacing w:before="0" w:beforeAutospacing="0" w:after="0" w:afterAutospacing="0"/>
              <w:rPr>
                <w:rFonts w:ascii="Calibri" w:hAnsi="Calibri" w:cs="Calibri"/>
              </w:rPr>
            </w:pPr>
          </w:p>
        </w:tc>
        <w:tc>
          <w:tcPr>
            <w:tcW w:w="1440" w:type="dxa"/>
          </w:tcPr>
          <w:p w14:paraId="6C8EB7B5" w14:textId="77777777" w:rsidR="00214BD2" w:rsidRPr="00A22500" w:rsidRDefault="00214BD2" w:rsidP="00A22500">
            <w:pPr>
              <w:spacing w:after="0" w:line="240" w:lineRule="auto"/>
              <w:jc w:val="center"/>
              <w:rPr>
                <w:rFonts w:ascii="Calibri" w:hAnsi="Calibri" w:cs="Calibri"/>
                <w:sz w:val="24"/>
              </w:rPr>
            </w:pPr>
            <w:r w:rsidRPr="00A22500">
              <w:rPr>
                <w:rFonts w:ascii="Calibri" w:hAnsi="Calibri" w:cs="Calibri"/>
                <w:sz w:val="24"/>
              </w:rPr>
              <w:t>8/7/2017</w:t>
            </w:r>
          </w:p>
        </w:tc>
        <w:tc>
          <w:tcPr>
            <w:tcW w:w="1440" w:type="dxa"/>
          </w:tcPr>
          <w:p w14:paraId="3A2A9E07" w14:textId="77777777" w:rsidR="00214BD2" w:rsidRPr="00A22500" w:rsidRDefault="00214BD2" w:rsidP="00F8485B">
            <w:pPr>
              <w:pStyle w:val="NormalWeb"/>
              <w:spacing w:before="0" w:beforeAutospacing="0" w:after="0" w:afterAutospacing="0"/>
              <w:rPr>
                <w:rFonts w:ascii="Calibri" w:hAnsi="Calibri" w:cs="Calibri"/>
              </w:rPr>
            </w:pPr>
            <w:r w:rsidRPr="00A22500">
              <w:rPr>
                <w:rFonts w:ascii="Calibri" w:hAnsi="Calibri" w:cs="Calibri"/>
              </w:rPr>
              <w:t>P.L. 115-31</w:t>
            </w:r>
          </w:p>
        </w:tc>
        <w:tc>
          <w:tcPr>
            <w:tcW w:w="4950" w:type="dxa"/>
          </w:tcPr>
          <w:p w14:paraId="0FFD5560" w14:textId="77777777" w:rsidR="00214BD2" w:rsidRPr="00A22500" w:rsidRDefault="00FD76D6" w:rsidP="00F8485B">
            <w:pPr>
              <w:spacing w:after="0" w:line="240" w:lineRule="auto"/>
              <w:rPr>
                <w:sz w:val="24"/>
              </w:rPr>
            </w:pPr>
            <w:hyperlink r:id="rId9" w:history="1">
              <w:r w:rsidR="00214BD2" w:rsidRPr="00A22500">
                <w:rPr>
                  <w:rStyle w:val="Hyperlink"/>
                  <w:sz w:val="24"/>
                </w:rPr>
                <w:t>https://www.federalregister.gov/d/2017-16411</w:t>
              </w:r>
            </w:hyperlink>
            <w:r w:rsidR="00214BD2" w:rsidRPr="00A22500">
              <w:rPr>
                <w:sz w:val="24"/>
              </w:rPr>
              <w:t xml:space="preserve"> </w:t>
            </w:r>
          </w:p>
        </w:tc>
      </w:tr>
      <w:tr w:rsidR="00214BD2" w:rsidRPr="00C97D84" w14:paraId="0243305B" w14:textId="77777777" w:rsidTr="0060036D">
        <w:tc>
          <w:tcPr>
            <w:tcW w:w="2430" w:type="dxa"/>
          </w:tcPr>
          <w:p w14:paraId="7BF89EAB" w14:textId="420E3FA3" w:rsidR="00214BD2" w:rsidRPr="00A22500" w:rsidRDefault="00214BD2" w:rsidP="00F8485B">
            <w:pPr>
              <w:pStyle w:val="NormalWeb"/>
              <w:spacing w:before="0" w:beforeAutospacing="0" w:after="0" w:afterAutospacing="0"/>
              <w:rPr>
                <w:rFonts w:ascii="Calibri" w:hAnsi="Calibri" w:cs="Calibri"/>
              </w:rPr>
            </w:pPr>
            <w:r w:rsidRPr="00A22500">
              <w:rPr>
                <w:rFonts w:ascii="Calibri" w:hAnsi="Calibri" w:cs="Calibri"/>
              </w:rPr>
              <w:t>82 F</w:t>
            </w:r>
            <w:r w:rsidR="00C821F6" w:rsidRPr="00A22500">
              <w:rPr>
                <w:rFonts w:ascii="Calibri" w:hAnsi="Calibri" w:cs="Calibri"/>
              </w:rPr>
              <w:t xml:space="preserve">ed. </w:t>
            </w:r>
            <w:r w:rsidRPr="00A22500">
              <w:rPr>
                <w:rFonts w:ascii="Calibri" w:hAnsi="Calibri" w:cs="Calibri"/>
              </w:rPr>
              <w:t>R</w:t>
            </w:r>
            <w:r w:rsidR="00C821F6" w:rsidRPr="00A22500">
              <w:rPr>
                <w:rFonts w:ascii="Calibri" w:hAnsi="Calibri" w:cs="Calibri"/>
              </w:rPr>
              <w:t>eg.</w:t>
            </w:r>
            <w:r w:rsidRPr="00A22500">
              <w:rPr>
                <w:rFonts w:ascii="Calibri" w:hAnsi="Calibri" w:cs="Calibri"/>
              </w:rPr>
              <w:t xml:space="preserve"> 5591</w:t>
            </w:r>
          </w:p>
          <w:p w14:paraId="7D3982B2" w14:textId="44C95CC4" w:rsidR="00C821F6" w:rsidRPr="00A22500" w:rsidRDefault="00C821F6" w:rsidP="00F8485B">
            <w:pPr>
              <w:pStyle w:val="NormalWeb"/>
              <w:spacing w:before="0" w:beforeAutospacing="0" w:after="0" w:afterAutospacing="0"/>
              <w:rPr>
                <w:rFonts w:ascii="Calibri" w:hAnsi="Calibri" w:cs="Calibri"/>
              </w:rPr>
            </w:pPr>
          </w:p>
        </w:tc>
        <w:tc>
          <w:tcPr>
            <w:tcW w:w="1440" w:type="dxa"/>
          </w:tcPr>
          <w:p w14:paraId="2257E1D9" w14:textId="77777777" w:rsidR="00214BD2" w:rsidRPr="00A22500" w:rsidRDefault="00214BD2" w:rsidP="00A22500">
            <w:pPr>
              <w:pStyle w:val="NormalWeb"/>
              <w:spacing w:before="0" w:beforeAutospacing="0" w:after="0" w:afterAutospacing="0"/>
              <w:jc w:val="center"/>
              <w:rPr>
                <w:rFonts w:ascii="Calibri" w:hAnsi="Calibri" w:cs="Calibri"/>
              </w:rPr>
            </w:pPr>
            <w:r w:rsidRPr="00A22500">
              <w:rPr>
                <w:rFonts w:ascii="Calibri" w:hAnsi="Calibri" w:cs="Calibri"/>
              </w:rPr>
              <w:t>1/18/2017</w:t>
            </w:r>
          </w:p>
        </w:tc>
        <w:tc>
          <w:tcPr>
            <w:tcW w:w="1440" w:type="dxa"/>
          </w:tcPr>
          <w:p w14:paraId="20800CFD" w14:textId="77777777" w:rsidR="00214BD2" w:rsidRPr="00A22500" w:rsidRDefault="00214BD2" w:rsidP="00F8485B">
            <w:pPr>
              <w:pStyle w:val="NormalWeb"/>
              <w:spacing w:before="0" w:beforeAutospacing="0" w:after="0" w:afterAutospacing="0"/>
              <w:rPr>
                <w:rFonts w:ascii="Calibri" w:hAnsi="Calibri" w:cs="Calibri"/>
              </w:rPr>
            </w:pPr>
            <w:r w:rsidRPr="00A22500">
              <w:rPr>
                <w:rFonts w:ascii="Calibri" w:hAnsi="Calibri" w:cs="Calibri"/>
              </w:rPr>
              <w:t>P.L. 114-245</w:t>
            </w:r>
          </w:p>
        </w:tc>
        <w:tc>
          <w:tcPr>
            <w:tcW w:w="4950" w:type="dxa"/>
          </w:tcPr>
          <w:p w14:paraId="6B7F0080" w14:textId="77777777" w:rsidR="00214BD2" w:rsidRPr="00A22500" w:rsidRDefault="00FD76D6" w:rsidP="00F8485B">
            <w:pPr>
              <w:spacing w:after="0" w:line="240" w:lineRule="auto"/>
              <w:rPr>
                <w:sz w:val="24"/>
              </w:rPr>
            </w:pPr>
            <w:hyperlink r:id="rId10" w:history="1">
              <w:r w:rsidR="00214BD2" w:rsidRPr="00A22500">
                <w:rPr>
                  <w:rStyle w:val="Hyperlink"/>
                  <w:sz w:val="24"/>
                </w:rPr>
                <w:t>https://www.federalregister.gov/d/2017-01007</w:t>
              </w:r>
            </w:hyperlink>
            <w:r w:rsidR="00214BD2" w:rsidRPr="00A22500">
              <w:rPr>
                <w:sz w:val="24"/>
              </w:rPr>
              <w:t xml:space="preserve"> </w:t>
            </w:r>
          </w:p>
        </w:tc>
      </w:tr>
      <w:bookmarkEnd w:id="15"/>
    </w:tbl>
    <w:p w14:paraId="7CF08B31" w14:textId="2C0AD4D1" w:rsidR="00A94AAB" w:rsidRPr="00357678" w:rsidRDefault="00A94AAB" w:rsidP="000307CA">
      <w:pPr>
        <w:spacing w:after="0" w:line="240" w:lineRule="auto"/>
        <w:rPr>
          <w:rFonts w:ascii="Calibri" w:hAnsi="Calibri"/>
          <w:sz w:val="24"/>
        </w:rPr>
      </w:pPr>
    </w:p>
    <w:p w14:paraId="4DE1953B" w14:textId="72B5F8C1" w:rsidR="007562E9" w:rsidRPr="007562E9" w:rsidRDefault="0016650C" w:rsidP="007562E9">
      <w:pPr>
        <w:pStyle w:val="Title"/>
        <w:spacing w:after="0"/>
        <w:outlineLvl w:val="0"/>
        <w:rPr>
          <w:rFonts w:ascii="Calibri" w:hAnsi="Calibri" w:cs="Calibri"/>
          <w:smallCaps w:val="0"/>
          <w:color w:val="0070C0"/>
          <w:sz w:val="36"/>
          <w:szCs w:val="36"/>
        </w:rPr>
      </w:pPr>
      <w:bookmarkStart w:id="16" w:name="_Toc8137174"/>
      <w:bookmarkStart w:id="17" w:name="_Toc22628977"/>
      <w:r>
        <w:rPr>
          <w:rStyle w:val="IntenseReference"/>
          <w:rFonts w:ascii="Calibri" w:hAnsi="Calibri" w:cs="Calibri"/>
          <w:b w:val="0"/>
          <w:bCs w:val="0"/>
          <w:color w:val="0070C0"/>
          <w:sz w:val="36"/>
          <w:szCs w:val="36"/>
        </w:rPr>
        <w:t xml:space="preserve">MVB </w:t>
      </w:r>
      <w:r w:rsidR="00A94AAB" w:rsidRPr="00C97D84">
        <w:rPr>
          <w:rStyle w:val="IntenseReference"/>
          <w:rFonts w:ascii="Calibri" w:hAnsi="Calibri" w:cs="Calibri"/>
          <w:b w:val="0"/>
          <w:bCs w:val="0"/>
          <w:color w:val="0070C0"/>
          <w:sz w:val="36"/>
          <w:szCs w:val="36"/>
        </w:rPr>
        <w:t>Program Eligibility Overview</w:t>
      </w:r>
      <w:bookmarkEnd w:id="16"/>
      <w:bookmarkEnd w:id="17"/>
    </w:p>
    <w:p w14:paraId="5C8121B9" w14:textId="79585C80" w:rsidR="00A94AAB" w:rsidRDefault="00A94AAB" w:rsidP="000307CA">
      <w:pPr>
        <w:pStyle w:val="Heading2"/>
        <w:spacing w:before="0" w:line="240" w:lineRule="auto"/>
        <w:rPr>
          <w:color w:val="5B9BD5" w:themeColor="accent5"/>
        </w:rPr>
      </w:pPr>
      <w:bookmarkStart w:id="18" w:name="_Toc8137175"/>
      <w:bookmarkStart w:id="19" w:name="_Toc22628978"/>
      <w:r w:rsidRPr="0016650C">
        <w:rPr>
          <w:color w:val="5B9BD5" w:themeColor="accent5"/>
        </w:rPr>
        <w:t xml:space="preserve">Eligible </w:t>
      </w:r>
      <w:r w:rsidR="007E4A59">
        <w:rPr>
          <w:color w:val="5B9BD5" w:themeColor="accent5"/>
        </w:rPr>
        <w:t>Participant</w:t>
      </w:r>
      <w:r w:rsidR="007E4A59" w:rsidRPr="0016650C">
        <w:rPr>
          <w:color w:val="5B9BD5" w:themeColor="accent5"/>
        </w:rPr>
        <w:t>s</w:t>
      </w:r>
      <w:r w:rsidRPr="0016650C">
        <w:rPr>
          <w:color w:val="5B9BD5" w:themeColor="accent5"/>
        </w:rPr>
        <w:t>:</w:t>
      </w:r>
      <w:bookmarkEnd w:id="18"/>
      <w:bookmarkEnd w:id="19"/>
      <w:r w:rsidRPr="0016650C">
        <w:rPr>
          <w:color w:val="5B9BD5" w:themeColor="accent5"/>
        </w:rPr>
        <w:t xml:space="preserve"> </w:t>
      </w:r>
    </w:p>
    <w:p w14:paraId="4237224F" w14:textId="5B03BAA7" w:rsidR="003D47BC" w:rsidRPr="009E75FC" w:rsidRDefault="007E4A59" w:rsidP="003D47BC">
      <w:pPr>
        <w:widowControl w:val="0"/>
        <w:tabs>
          <w:tab w:val="left" w:pos="1200"/>
        </w:tabs>
        <w:autoSpaceDE w:val="0"/>
        <w:autoSpaceDN w:val="0"/>
        <w:spacing w:after="0"/>
        <w:rPr>
          <w:rFonts w:asciiTheme="minorHAnsi" w:hAnsiTheme="minorHAnsi"/>
          <w:sz w:val="24"/>
          <w:szCs w:val="24"/>
        </w:rPr>
      </w:pPr>
      <w:bookmarkStart w:id="20" w:name="_Hlk10545815"/>
      <w:r w:rsidRPr="009E75FC">
        <w:rPr>
          <w:rFonts w:asciiTheme="minorHAnsi" w:hAnsiTheme="minorHAnsi"/>
          <w:sz w:val="24"/>
          <w:szCs w:val="24"/>
        </w:rPr>
        <w:t>Activities</w:t>
      </w:r>
      <w:r w:rsidR="00701DA0" w:rsidRPr="009E75FC">
        <w:rPr>
          <w:rFonts w:asciiTheme="minorHAnsi" w:hAnsiTheme="minorHAnsi"/>
          <w:sz w:val="24"/>
          <w:szCs w:val="24"/>
        </w:rPr>
        <w:t xml:space="preserve"> for</w:t>
      </w:r>
      <w:r w:rsidRPr="009E75FC">
        <w:rPr>
          <w:rFonts w:asciiTheme="minorHAnsi" w:hAnsiTheme="minorHAnsi"/>
          <w:sz w:val="24"/>
          <w:szCs w:val="24"/>
        </w:rPr>
        <w:t xml:space="preserve"> the MVB </w:t>
      </w:r>
      <w:r w:rsidR="00A01EDB">
        <w:rPr>
          <w:rFonts w:asciiTheme="minorHAnsi" w:hAnsiTheme="minorHAnsi"/>
          <w:sz w:val="24"/>
          <w:szCs w:val="24"/>
        </w:rPr>
        <w:t>p</w:t>
      </w:r>
      <w:r w:rsidRPr="009E75FC">
        <w:rPr>
          <w:rFonts w:asciiTheme="minorHAnsi" w:hAnsiTheme="minorHAnsi"/>
          <w:sz w:val="24"/>
          <w:szCs w:val="24"/>
        </w:rPr>
        <w:t xml:space="preserve">rogram will be performed directly by </w:t>
      </w:r>
      <w:r w:rsidR="009D2497" w:rsidRPr="009E75FC">
        <w:rPr>
          <w:rFonts w:asciiTheme="minorHAnsi" w:hAnsiTheme="minorHAnsi"/>
          <w:sz w:val="24"/>
          <w:szCs w:val="24"/>
        </w:rPr>
        <w:t>HCDD</w:t>
      </w:r>
      <w:r w:rsidR="0023464F" w:rsidRPr="009E75FC">
        <w:rPr>
          <w:rFonts w:asciiTheme="minorHAnsi" w:hAnsiTheme="minorHAnsi"/>
          <w:sz w:val="24"/>
          <w:szCs w:val="24"/>
        </w:rPr>
        <w:t xml:space="preserve">. </w:t>
      </w:r>
      <w:r w:rsidRPr="009E75FC">
        <w:rPr>
          <w:rFonts w:asciiTheme="minorHAnsi" w:hAnsiTheme="minorHAnsi"/>
          <w:sz w:val="24"/>
          <w:szCs w:val="24"/>
        </w:rPr>
        <w:t xml:space="preserve"> </w:t>
      </w:r>
      <w:r w:rsidR="00D265A8" w:rsidRPr="009E75FC">
        <w:rPr>
          <w:rFonts w:asciiTheme="minorHAnsi" w:hAnsiTheme="minorHAnsi"/>
          <w:sz w:val="24"/>
          <w:szCs w:val="24"/>
        </w:rPr>
        <w:t>Anyone contracted by HCDD will be required to comp</w:t>
      </w:r>
      <w:r w:rsidR="00C66B8A" w:rsidRPr="009E75FC">
        <w:rPr>
          <w:rFonts w:asciiTheme="minorHAnsi" w:hAnsiTheme="minorHAnsi"/>
          <w:sz w:val="24"/>
          <w:szCs w:val="24"/>
        </w:rPr>
        <w:t>ly</w:t>
      </w:r>
      <w:r w:rsidR="00D265A8" w:rsidRPr="009E75FC">
        <w:rPr>
          <w:rFonts w:asciiTheme="minorHAnsi" w:hAnsiTheme="minorHAnsi"/>
          <w:sz w:val="24"/>
          <w:szCs w:val="24"/>
        </w:rPr>
        <w:t xml:space="preserve"> with the following: </w:t>
      </w:r>
      <w:bookmarkEnd w:id="20"/>
    </w:p>
    <w:p w14:paraId="6A40D06A" w14:textId="20EDCEEB" w:rsidR="00A94AAB" w:rsidRPr="00C97D84" w:rsidRDefault="00A94AAB" w:rsidP="000307CA">
      <w:pPr>
        <w:pStyle w:val="ListParagraph"/>
        <w:widowControl w:val="0"/>
        <w:numPr>
          <w:ilvl w:val="1"/>
          <w:numId w:val="1"/>
        </w:numPr>
        <w:tabs>
          <w:tab w:val="left" w:pos="1199"/>
          <w:tab w:val="left" w:pos="1200"/>
        </w:tabs>
        <w:autoSpaceDE w:val="0"/>
        <w:autoSpaceDN w:val="0"/>
        <w:spacing w:after="0" w:line="240" w:lineRule="auto"/>
        <w:contextualSpacing w:val="0"/>
        <w:rPr>
          <w:rFonts w:ascii="Calibri" w:hAnsi="Calibri" w:cs="Calibri"/>
          <w:sz w:val="24"/>
          <w:szCs w:val="24"/>
        </w:rPr>
      </w:pPr>
      <w:r w:rsidRPr="00C97D84">
        <w:rPr>
          <w:rFonts w:ascii="Calibri" w:hAnsi="Calibri" w:cs="Calibri"/>
          <w:sz w:val="24"/>
          <w:szCs w:val="24"/>
        </w:rPr>
        <w:t>Applicants and Applicants’ team members must be in good standing with HCDD on all previous grants, loans, or loan commitments. In addition, Applicant must affirm that there are no defaults or negative collection actions relating to any financial obligation, either to the City of Houston or any other public agency or private lender.</w:t>
      </w:r>
    </w:p>
    <w:p w14:paraId="315587F1" w14:textId="15DCFA52" w:rsidR="00A94AAB" w:rsidRPr="00C97D84" w:rsidRDefault="00A94AAB" w:rsidP="000307CA">
      <w:pPr>
        <w:pStyle w:val="ListParagraph"/>
        <w:widowControl w:val="0"/>
        <w:numPr>
          <w:ilvl w:val="1"/>
          <w:numId w:val="1"/>
        </w:numPr>
        <w:tabs>
          <w:tab w:val="left" w:pos="1199"/>
          <w:tab w:val="left" w:pos="1200"/>
        </w:tabs>
        <w:autoSpaceDE w:val="0"/>
        <w:autoSpaceDN w:val="0"/>
        <w:spacing w:after="0" w:line="240" w:lineRule="auto"/>
        <w:contextualSpacing w:val="0"/>
        <w:rPr>
          <w:rFonts w:ascii="Calibri" w:hAnsi="Calibri" w:cs="Calibri"/>
          <w:sz w:val="24"/>
          <w:szCs w:val="24"/>
        </w:rPr>
      </w:pPr>
      <w:r w:rsidRPr="00C97D84">
        <w:rPr>
          <w:rFonts w:ascii="Calibri" w:hAnsi="Calibri" w:cs="Calibri"/>
          <w:color w:val="000000"/>
          <w:sz w:val="24"/>
          <w:szCs w:val="24"/>
        </w:rPr>
        <w:t xml:space="preserve">Applicants, developer owners, principals, development/borrowers or general contractors </w:t>
      </w:r>
      <w:r w:rsidR="00E56875">
        <w:rPr>
          <w:rFonts w:ascii="Calibri" w:hAnsi="Calibri" w:cs="Calibri"/>
          <w:color w:val="000000"/>
          <w:sz w:val="24"/>
          <w:szCs w:val="24"/>
        </w:rPr>
        <w:t>must</w:t>
      </w:r>
      <w:r w:rsidR="00E56875" w:rsidRPr="00C97D84">
        <w:rPr>
          <w:rFonts w:ascii="Calibri" w:hAnsi="Calibri" w:cs="Calibri"/>
          <w:color w:val="000000"/>
          <w:sz w:val="24"/>
          <w:szCs w:val="24"/>
        </w:rPr>
        <w:t xml:space="preserve"> </w:t>
      </w:r>
      <w:r w:rsidRPr="00C97D84">
        <w:rPr>
          <w:rFonts w:ascii="Calibri" w:hAnsi="Calibri" w:cs="Calibri"/>
          <w:color w:val="000000"/>
          <w:sz w:val="24"/>
          <w:szCs w:val="24"/>
        </w:rPr>
        <w:t xml:space="preserve">not be “debarred” as cited on federal and state debarment lists in accordance with </w:t>
      </w:r>
      <w:hyperlink r:id="rId11" w:history="1">
        <w:r w:rsidRPr="00397F4D">
          <w:rPr>
            <w:rStyle w:val="Hyperlink"/>
            <w:rFonts w:ascii="Calibri" w:hAnsi="Calibri" w:cs="Calibri"/>
            <w:sz w:val="24"/>
            <w:szCs w:val="24"/>
          </w:rPr>
          <w:t xml:space="preserve">24 </w:t>
        </w:r>
        <w:r w:rsidR="00C821F6">
          <w:rPr>
            <w:rStyle w:val="Hyperlink"/>
            <w:rFonts w:ascii="Calibri" w:hAnsi="Calibri" w:cs="Calibri"/>
            <w:sz w:val="24"/>
            <w:szCs w:val="24"/>
          </w:rPr>
          <w:t>C.F.R.</w:t>
        </w:r>
        <w:r w:rsidRPr="00397F4D">
          <w:rPr>
            <w:rStyle w:val="Hyperlink"/>
            <w:rFonts w:ascii="Calibri" w:hAnsi="Calibri" w:cs="Calibri"/>
            <w:sz w:val="24"/>
            <w:szCs w:val="24"/>
          </w:rPr>
          <w:t xml:space="preserve"> 570.609</w:t>
        </w:r>
      </w:hyperlink>
      <w:r w:rsidRPr="00C97D84">
        <w:rPr>
          <w:rFonts w:ascii="Calibri" w:hAnsi="Calibri" w:cs="Calibri"/>
          <w:color w:val="000000"/>
          <w:sz w:val="24"/>
          <w:szCs w:val="24"/>
        </w:rPr>
        <w:t>, as well as other applicable laws.</w:t>
      </w:r>
    </w:p>
    <w:p w14:paraId="17443B34" w14:textId="70399914" w:rsidR="004F348C" w:rsidRDefault="00A94AAB" w:rsidP="00CB120A">
      <w:pPr>
        <w:pStyle w:val="ListParagraph"/>
        <w:widowControl w:val="0"/>
        <w:numPr>
          <w:ilvl w:val="1"/>
          <w:numId w:val="1"/>
        </w:numPr>
        <w:tabs>
          <w:tab w:val="left" w:pos="1199"/>
          <w:tab w:val="left" w:pos="1200"/>
        </w:tabs>
        <w:autoSpaceDE w:val="0"/>
        <w:autoSpaceDN w:val="0"/>
        <w:spacing w:after="0" w:line="240" w:lineRule="auto"/>
        <w:contextualSpacing w:val="0"/>
        <w:rPr>
          <w:rFonts w:ascii="Calibri" w:hAnsi="Calibri" w:cs="Calibri"/>
          <w:sz w:val="24"/>
          <w:szCs w:val="24"/>
        </w:rPr>
      </w:pPr>
      <w:r w:rsidRPr="00AB1915">
        <w:rPr>
          <w:rFonts w:ascii="Calibri" w:hAnsi="Calibri" w:cs="Calibri"/>
          <w:sz w:val="24"/>
          <w:szCs w:val="24"/>
        </w:rPr>
        <w:t>Applicants must not discriminate based on ethnicity, race, color, creed, religion, gender, national origin, age, disability, marital status, sexual orientation, gender identity, or Veteran’s discharge status.</w:t>
      </w:r>
    </w:p>
    <w:p w14:paraId="6CB29058" w14:textId="15F56A9F" w:rsidR="00C56F6D" w:rsidRDefault="00C56F6D" w:rsidP="009E75FC">
      <w:pPr>
        <w:widowControl w:val="0"/>
        <w:tabs>
          <w:tab w:val="left" w:pos="1199"/>
          <w:tab w:val="left" w:pos="1200"/>
        </w:tabs>
        <w:autoSpaceDE w:val="0"/>
        <w:autoSpaceDN w:val="0"/>
        <w:spacing w:after="0" w:line="240" w:lineRule="auto"/>
        <w:rPr>
          <w:rFonts w:ascii="Calibri" w:hAnsi="Calibri" w:cs="Calibri"/>
          <w:sz w:val="24"/>
          <w:szCs w:val="24"/>
        </w:rPr>
      </w:pPr>
    </w:p>
    <w:p w14:paraId="03081FDF" w14:textId="2C7E7305" w:rsidR="00C56F6D" w:rsidRPr="009E75FC" w:rsidRDefault="00C56F6D" w:rsidP="009E75FC">
      <w:pPr>
        <w:widowControl w:val="0"/>
        <w:tabs>
          <w:tab w:val="left" w:pos="1199"/>
          <w:tab w:val="left" w:pos="1200"/>
        </w:tabs>
        <w:autoSpaceDE w:val="0"/>
        <w:autoSpaceDN w:val="0"/>
        <w:spacing w:after="0" w:line="240" w:lineRule="auto"/>
        <w:rPr>
          <w:rFonts w:ascii="Calibri" w:hAnsi="Calibri" w:cs="Calibri"/>
          <w:sz w:val="24"/>
          <w:szCs w:val="24"/>
        </w:rPr>
      </w:pPr>
      <w:r>
        <w:rPr>
          <w:rFonts w:ascii="Calibri" w:hAnsi="Calibri" w:cs="Calibri"/>
          <w:sz w:val="24"/>
          <w:szCs w:val="24"/>
        </w:rPr>
        <w:t xml:space="preserve">The MVB </w:t>
      </w:r>
      <w:r w:rsidR="00E56875">
        <w:rPr>
          <w:rFonts w:ascii="Calibri" w:hAnsi="Calibri" w:cs="Calibri"/>
          <w:sz w:val="24"/>
          <w:szCs w:val="24"/>
        </w:rPr>
        <w:t>p</w:t>
      </w:r>
      <w:r>
        <w:rPr>
          <w:rFonts w:ascii="Calibri" w:hAnsi="Calibri" w:cs="Calibri"/>
          <w:sz w:val="24"/>
          <w:szCs w:val="24"/>
        </w:rPr>
        <w:t xml:space="preserve">rogram will be operated by HCDD and utilize post-disaster Fair Market Value (“FMV”) thus, HCDD will not have any </w:t>
      </w:r>
      <w:r w:rsidR="00E56875">
        <w:rPr>
          <w:rFonts w:ascii="Calibri" w:hAnsi="Calibri" w:cs="Calibri"/>
          <w:sz w:val="24"/>
          <w:szCs w:val="24"/>
        </w:rPr>
        <w:t xml:space="preserve">direct </w:t>
      </w:r>
      <w:r>
        <w:rPr>
          <w:rFonts w:ascii="Calibri" w:hAnsi="Calibri" w:cs="Calibri"/>
          <w:sz w:val="24"/>
          <w:szCs w:val="24"/>
        </w:rPr>
        <w:t xml:space="preserve">beneficiaries under this program.  </w:t>
      </w:r>
    </w:p>
    <w:p w14:paraId="7D5CC186" w14:textId="77777777" w:rsidR="004E0BE6" w:rsidRPr="00CB120A" w:rsidRDefault="004E0BE6" w:rsidP="004E0BE6">
      <w:pPr>
        <w:pStyle w:val="ListParagraph"/>
        <w:widowControl w:val="0"/>
        <w:tabs>
          <w:tab w:val="left" w:pos="1199"/>
          <w:tab w:val="left" w:pos="1200"/>
        </w:tabs>
        <w:autoSpaceDE w:val="0"/>
        <w:autoSpaceDN w:val="0"/>
        <w:spacing w:after="0" w:line="240" w:lineRule="auto"/>
        <w:ind w:left="480"/>
        <w:contextualSpacing w:val="0"/>
        <w:rPr>
          <w:rFonts w:ascii="Calibri" w:hAnsi="Calibri" w:cs="Calibri"/>
          <w:sz w:val="24"/>
          <w:szCs w:val="24"/>
        </w:rPr>
      </w:pPr>
    </w:p>
    <w:p w14:paraId="58873D56" w14:textId="47B4367E" w:rsidR="00A94AAB" w:rsidRPr="00D56D34" w:rsidRDefault="00D56D34" w:rsidP="000307CA">
      <w:pPr>
        <w:pStyle w:val="Heading2"/>
        <w:spacing w:before="0" w:line="240" w:lineRule="auto"/>
        <w:rPr>
          <w:color w:val="5B9BD5" w:themeColor="accent5"/>
        </w:rPr>
      </w:pPr>
      <w:bookmarkStart w:id="21" w:name="_Toc8137176"/>
      <w:bookmarkStart w:id="22" w:name="_Toc22628979"/>
      <w:r>
        <w:rPr>
          <w:color w:val="5B9BD5" w:themeColor="accent5"/>
        </w:rPr>
        <w:t>Eligibility Requirements</w:t>
      </w:r>
      <w:r w:rsidRPr="00D56D34">
        <w:rPr>
          <w:color w:val="5B9BD5" w:themeColor="accent5"/>
        </w:rPr>
        <w:t>:</w:t>
      </w:r>
      <w:bookmarkEnd w:id="21"/>
      <w:bookmarkEnd w:id="22"/>
      <w:r w:rsidRPr="00D56D34">
        <w:rPr>
          <w:color w:val="5B9BD5" w:themeColor="accent5"/>
        </w:rPr>
        <w:t xml:space="preserve"> </w:t>
      </w:r>
    </w:p>
    <w:p w14:paraId="2BFBCE7C" w14:textId="776D31AD" w:rsidR="00D56D34" w:rsidRPr="00D56D34" w:rsidRDefault="00D56D34" w:rsidP="000307CA">
      <w:pPr>
        <w:spacing w:after="0" w:line="240" w:lineRule="auto"/>
        <w:rPr>
          <w:rFonts w:ascii="Calibri" w:hAnsi="Calibri" w:cs="Calibri"/>
          <w:sz w:val="24"/>
          <w:szCs w:val="24"/>
        </w:rPr>
      </w:pPr>
      <w:r>
        <w:rPr>
          <w:rFonts w:ascii="Calibri" w:hAnsi="Calibri" w:cs="Calibri"/>
          <w:sz w:val="24"/>
          <w:szCs w:val="24"/>
        </w:rPr>
        <w:t xml:space="preserve">To be considered eligible </w:t>
      </w:r>
      <w:r w:rsidR="00E0508F">
        <w:rPr>
          <w:rFonts w:ascii="Calibri" w:hAnsi="Calibri" w:cs="Calibri"/>
          <w:sz w:val="24"/>
          <w:szCs w:val="24"/>
        </w:rPr>
        <w:t xml:space="preserve">under the MVB </w:t>
      </w:r>
      <w:r w:rsidR="00E56875">
        <w:rPr>
          <w:rFonts w:ascii="Calibri" w:hAnsi="Calibri" w:cs="Calibri"/>
          <w:sz w:val="24"/>
          <w:szCs w:val="24"/>
        </w:rPr>
        <w:t>p</w:t>
      </w:r>
      <w:r w:rsidR="00E0508F">
        <w:rPr>
          <w:rFonts w:ascii="Calibri" w:hAnsi="Calibri" w:cs="Calibri"/>
          <w:sz w:val="24"/>
          <w:szCs w:val="24"/>
        </w:rPr>
        <w:t>rogram</w:t>
      </w:r>
      <w:r>
        <w:rPr>
          <w:rFonts w:ascii="Calibri" w:hAnsi="Calibri" w:cs="Calibri"/>
          <w:sz w:val="24"/>
          <w:szCs w:val="24"/>
        </w:rPr>
        <w:t xml:space="preserve">, the buyout property must satisfy </w:t>
      </w:r>
      <w:r w:rsidR="00214BD2">
        <w:rPr>
          <w:rFonts w:ascii="Calibri" w:hAnsi="Calibri" w:cs="Calibri"/>
          <w:sz w:val="24"/>
          <w:szCs w:val="24"/>
        </w:rPr>
        <w:t>all</w:t>
      </w:r>
      <w:r w:rsidR="0023464F">
        <w:rPr>
          <w:rFonts w:ascii="Calibri" w:hAnsi="Calibri" w:cs="Calibri"/>
          <w:sz w:val="24"/>
          <w:szCs w:val="24"/>
        </w:rPr>
        <w:t xml:space="preserve"> following requirements: </w:t>
      </w:r>
    </w:p>
    <w:p w14:paraId="01C8A574" w14:textId="1BD75414" w:rsidR="006F45F9" w:rsidRPr="00672789" w:rsidRDefault="006F45F9" w:rsidP="00672789">
      <w:pPr>
        <w:pStyle w:val="ListParagraph"/>
        <w:numPr>
          <w:ilvl w:val="0"/>
          <w:numId w:val="17"/>
        </w:numPr>
        <w:autoSpaceDE w:val="0"/>
        <w:autoSpaceDN w:val="0"/>
        <w:adjustRightInd w:val="0"/>
        <w:spacing w:after="0" w:line="240" w:lineRule="auto"/>
        <w:ind w:left="450"/>
        <w:rPr>
          <w:rFonts w:ascii="Calibri" w:hAnsi="Calibri" w:cs="Calibri"/>
          <w:sz w:val="24"/>
          <w:szCs w:val="24"/>
        </w:rPr>
      </w:pPr>
      <w:r>
        <w:rPr>
          <w:rFonts w:ascii="Calibri" w:hAnsi="Calibri" w:cs="Calibri"/>
          <w:sz w:val="24"/>
          <w:szCs w:val="24"/>
        </w:rPr>
        <w:t xml:space="preserve">The property </w:t>
      </w:r>
      <w:r w:rsidR="00A94AAB" w:rsidRPr="00C97D84">
        <w:rPr>
          <w:rFonts w:ascii="Calibri" w:hAnsi="Calibri" w:cs="Calibri"/>
          <w:sz w:val="24"/>
          <w:szCs w:val="24"/>
        </w:rPr>
        <w:t xml:space="preserve">must be located within the city limits of </w:t>
      </w:r>
      <w:r w:rsidR="00A01EDB">
        <w:rPr>
          <w:rFonts w:ascii="Calibri" w:hAnsi="Calibri" w:cs="Calibri"/>
          <w:sz w:val="24"/>
          <w:szCs w:val="24"/>
        </w:rPr>
        <w:t xml:space="preserve">the City of </w:t>
      </w:r>
      <w:r w:rsidR="00A94AAB" w:rsidRPr="00C97D84">
        <w:rPr>
          <w:rFonts w:ascii="Calibri" w:hAnsi="Calibri" w:cs="Calibri"/>
          <w:sz w:val="24"/>
          <w:szCs w:val="24"/>
        </w:rPr>
        <w:t xml:space="preserve">Houston. </w:t>
      </w:r>
    </w:p>
    <w:p w14:paraId="7DE3A883" w14:textId="22767BFC" w:rsidR="006F45F9" w:rsidRPr="00E0508F" w:rsidRDefault="006F45F9" w:rsidP="007F4585">
      <w:pPr>
        <w:pStyle w:val="ListParagraph"/>
        <w:numPr>
          <w:ilvl w:val="0"/>
          <w:numId w:val="17"/>
        </w:numPr>
        <w:autoSpaceDE w:val="0"/>
        <w:autoSpaceDN w:val="0"/>
        <w:adjustRightInd w:val="0"/>
        <w:spacing w:after="0" w:line="240" w:lineRule="auto"/>
        <w:ind w:left="450"/>
        <w:rPr>
          <w:rFonts w:ascii="Calibri" w:hAnsi="Calibri" w:cs="Calibri"/>
          <w:sz w:val="24"/>
          <w:szCs w:val="24"/>
        </w:rPr>
      </w:pPr>
      <w:r w:rsidRPr="00496941">
        <w:rPr>
          <w:rFonts w:ascii="Calibri" w:hAnsi="Calibri" w:cs="Calibri"/>
          <w:sz w:val="24"/>
          <w:szCs w:val="24"/>
        </w:rPr>
        <w:t xml:space="preserve">The property </w:t>
      </w:r>
      <w:r w:rsidR="00B31CA8" w:rsidRPr="00496941">
        <w:rPr>
          <w:rFonts w:ascii="Calibri" w:hAnsi="Calibri" w:cs="Calibri"/>
          <w:sz w:val="24"/>
          <w:szCs w:val="24"/>
        </w:rPr>
        <w:t xml:space="preserve">must have documented damaged </w:t>
      </w:r>
      <w:r w:rsidR="0032114F" w:rsidRPr="00496941">
        <w:rPr>
          <w:rFonts w:ascii="Calibri" w:hAnsi="Calibri" w:cs="Calibri"/>
          <w:sz w:val="24"/>
          <w:szCs w:val="24"/>
        </w:rPr>
        <w:t xml:space="preserve">by the 2016 Flood Events </w:t>
      </w:r>
      <w:r w:rsidR="004E0BE6" w:rsidRPr="00496941">
        <w:rPr>
          <w:rFonts w:ascii="Calibri" w:hAnsi="Calibri" w:cs="Calibri"/>
          <w:sz w:val="24"/>
          <w:szCs w:val="24"/>
        </w:rPr>
        <w:t>(51% or more of the post</w:t>
      </w:r>
      <w:r w:rsidRPr="00496941">
        <w:rPr>
          <w:rFonts w:ascii="Calibri" w:hAnsi="Calibri" w:cs="Calibri"/>
          <w:sz w:val="24"/>
          <w:szCs w:val="24"/>
        </w:rPr>
        <w:t>- flood fair market value of the structure is damages)</w:t>
      </w:r>
      <w:r w:rsidR="001113F8" w:rsidRPr="00496941">
        <w:rPr>
          <w:rFonts w:ascii="Calibri" w:hAnsi="Calibri" w:cs="Calibri"/>
          <w:sz w:val="24"/>
          <w:szCs w:val="24"/>
        </w:rPr>
        <w:t xml:space="preserve"> and/or t</w:t>
      </w:r>
      <w:r w:rsidRPr="00496941">
        <w:rPr>
          <w:rFonts w:ascii="Calibri" w:hAnsi="Calibri" w:cs="Calibri"/>
          <w:sz w:val="24"/>
          <w:szCs w:val="24"/>
        </w:rPr>
        <w:t>he</w:t>
      </w:r>
      <w:r w:rsidRPr="00E0508F">
        <w:rPr>
          <w:rFonts w:ascii="Calibri" w:hAnsi="Calibri" w:cs="Calibri"/>
          <w:sz w:val="24"/>
          <w:szCs w:val="24"/>
        </w:rPr>
        <w:t xml:space="preserve"> property is considered a health/safety risk. </w:t>
      </w:r>
    </w:p>
    <w:p w14:paraId="6FDDAA99" w14:textId="12F664AE" w:rsidR="00A94AAB" w:rsidRDefault="006F45F9" w:rsidP="00E14863">
      <w:pPr>
        <w:pStyle w:val="ListParagraph"/>
        <w:numPr>
          <w:ilvl w:val="0"/>
          <w:numId w:val="17"/>
        </w:numPr>
        <w:autoSpaceDE w:val="0"/>
        <w:autoSpaceDN w:val="0"/>
        <w:adjustRightInd w:val="0"/>
        <w:spacing w:after="0" w:line="240" w:lineRule="auto"/>
        <w:ind w:left="450"/>
        <w:rPr>
          <w:rFonts w:ascii="Calibri" w:hAnsi="Calibri" w:cs="Calibri"/>
          <w:sz w:val="24"/>
          <w:szCs w:val="24"/>
        </w:rPr>
      </w:pPr>
      <w:r>
        <w:rPr>
          <w:rFonts w:ascii="Calibri" w:hAnsi="Calibri" w:cs="Calibri"/>
          <w:sz w:val="24"/>
          <w:szCs w:val="24"/>
        </w:rPr>
        <w:t xml:space="preserve">Development </w:t>
      </w:r>
      <w:r w:rsidR="00E56875">
        <w:rPr>
          <w:rFonts w:ascii="Calibri" w:hAnsi="Calibri" w:cs="Calibri"/>
          <w:sz w:val="24"/>
          <w:szCs w:val="24"/>
        </w:rPr>
        <w:t>must be</w:t>
      </w:r>
      <w:r w:rsidR="00E56875" w:rsidRPr="00C97D84">
        <w:rPr>
          <w:rFonts w:ascii="Calibri" w:hAnsi="Calibri" w:cs="Calibri"/>
          <w:sz w:val="24"/>
          <w:szCs w:val="24"/>
        </w:rPr>
        <w:t xml:space="preserve"> </w:t>
      </w:r>
      <w:r w:rsidR="00A94AAB" w:rsidRPr="00C97D84">
        <w:rPr>
          <w:rFonts w:ascii="Calibri" w:hAnsi="Calibri" w:cs="Calibri"/>
          <w:sz w:val="24"/>
          <w:szCs w:val="24"/>
        </w:rPr>
        <w:t>in the 100-year floodplain</w:t>
      </w:r>
      <w:r w:rsidR="00E93B79">
        <w:rPr>
          <w:rFonts w:ascii="Calibri" w:hAnsi="Calibri" w:cs="Calibri"/>
          <w:sz w:val="24"/>
          <w:szCs w:val="24"/>
        </w:rPr>
        <w:t xml:space="preserve"> and/or floodway</w:t>
      </w:r>
      <w:r w:rsidR="00A94AAB" w:rsidRPr="00C97D84">
        <w:rPr>
          <w:rFonts w:ascii="Calibri" w:hAnsi="Calibri" w:cs="Calibri"/>
          <w:sz w:val="24"/>
          <w:szCs w:val="24"/>
        </w:rPr>
        <w:t>, as identified on the most current Federal Emergency Management Agency (</w:t>
      </w:r>
      <w:r w:rsidR="00E56875">
        <w:rPr>
          <w:rFonts w:ascii="Calibri" w:hAnsi="Calibri" w:cs="Calibri"/>
          <w:sz w:val="24"/>
          <w:szCs w:val="24"/>
        </w:rPr>
        <w:t>“</w:t>
      </w:r>
      <w:r w:rsidR="00A94AAB" w:rsidRPr="00C97D84">
        <w:rPr>
          <w:rFonts w:ascii="Calibri" w:hAnsi="Calibri" w:cs="Calibri"/>
          <w:sz w:val="24"/>
          <w:szCs w:val="24"/>
        </w:rPr>
        <w:t>FEMA</w:t>
      </w:r>
      <w:r w:rsidR="00E56875">
        <w:rPr>
          <w:rFonts w:ascii="Calibri" w:hAnsi="Calibri" w:cs="Calibri"/>
          <w:sz w:val="24"/>
          <w:szCs w:val="24"/>
        </w:rPr>
        <w:t>”</w:t>
      </w:r>
      <w:r w:rsidR="00A94AAB" w:rsidRPr="00C97D84">
        <w:rPr>
          <w:rFonts w:ascii="Calibri" w:hAnsi="Calibri" w:cs="Calibri"/>
          <w:sz w:val="24"/>
          <w:szCs w:val="24"/>
        </w:rPr>
        <w:t xml:space="preserve">) Flood Maps. </w:t>
      </w:r>
    </w:p>
    <w:p w14:paraId="718E9B00" w14:textId="4F35D880" w:rsidR="00A94AAB" w:rsidRDefault="00A94AAB" w:rsidP="00E14863">
      <w:pPr>
        <w:pStyle w:val="ListParagraph"/>
        <w:numPr>
          <w:ilvl w:val="0"/>
          <w:numId w:val="17"/>
        </w:numPr>
        <w:autoSpaceDE w:val="0"/>
        <w:autoSpaceDN w:val="0"/>
        <w:adjustRightInd w:val="0"/>
        <w:spacing w:after="0" w:line="240" w:lineRule="auto"/>
        <w:ind w:left="450"/>
        <w:rPr>
          <w:rFonts w:ascii="Calibri" w:hAnsi="Calibri" w:cs="Calibri"/>
          <w:sz w:val="24"/>
          <w:szCs w:val="24"/>
        </w:rPr>
      </w:pPr>
      <w:r w:rsidRPr="00C97D84">
        <w:rPr>
          <w:rFonts w:ascii="Calibri" w:hAnsi="Calibri" w:cs="Calibri"/>
          <w:sz w:val="24"/>
          <w:szCs w:val="24"/>
        </w:rPr>
        <w:t xml:space="preserve">The project must comply with all applicable federal and state requirements. </w:t>
      </w:r>
    </w:p>
    <w:p w14:paraId="5FBF8CB3" w14:textId="2BB6CCF9" w:rsidR="00FC4A04" w:rsidRPr="00C97D84" w:rsidRDefault="00FC4A04" w:rsidP="00E14863">
      <w:pPr>
        <w:pStyle w:val="ListParagraph"/>
        <w:numPr>
          <w:ilvl w:val="0"/>
          <w:numId w:val="17"/>
        </w:numPr>
        <w:autoSpaceDE w:val="0"/>
        <w:autoSpaceDN w:val="0"/>
        <w:adjustRightInd w:val="0"/>
        <w:spacing w:after="0" w:line="240" w:lineRule="auto"/>
        <w:ind w:left="450"/>
        <w:rPr>
          <w:rFonts w:ascii="Calibri" w:hAnsi="Calibri" w:cs="Calibri"/>
          <w:sz w:val="24"/>
          <w:szCs w:val="24"/>
        </w:rPr>
      </w:pPr>
      <w:r>
        <w:rPr>
          <w:rFonts w:ascii="Calibri" w:hAnsi="Calibri" w:cs="Calibri"/>
          <w:sz w:val="24"/>
          <w:szCs w:val="24"/>
        </w:rPr>
        <w:t xml:space="preserve">The property must furnish evidence that property taxes are current, under an approved payment plan, or </w:t>
      </w:r>
      <w:r w:rsidR="00DE2F1C">
        <w:rPr>
          <w:rFonts w:ascii="Calibri" w:hAnsi="Calibri" w:cs="Calibri"/>
          <w:sz w:val="24"/>
          <w:szCs w:val="24"/>
        </w:rPr>
        <w:t xml:space="preserve">that there is an exemption under laws. </w:t>
      </w:r>
    </w:p>
    <w:p w14:paraId="56634CEC" w14:textId="1181301F" w:rsidR="00DC4BBE" w:rsidRDefault="002D3D36" w:rsidP="00403998">
      <w:pPr>
        <w:pStyle w:val="ListParagraph"/>
        <w:numPr>
          <w:ilvl w:val="0"/>
          <w:numId w:val="17"/>
        </w:numPr>
        <w:autoSpaceDE w:val="0"/>
        <w:autoSpaceDN w:val="0"/>
        <w:adjustRightInd w:val="0"/>
        <w:spacing w:after="0" w:line="240" w:lineRule="auto"/>
        <w:ind w:left="450"/>
        <w:rPr>
          <w:rFonts w:ascii="Calibri" w:hAnsi="Calibri" w:cs="Calibri"/>
          <w:sz w:val="24"/>
          <w:szCs w:val="24"/>
        </w:rPr>
      </w:pPr>
      <w:r>
        <w:rPr>
          <w:rFonts w:ascii="Calibri" w:hAnsi="Calibri" w:cs="Calibri"/>
          <w:sz w:val="24"/>
          <w:szCs w:val="24"/>
        </w:rPr>
        <w:t>Any p</w:t>
      </w:r>
      <w:r w:rsidR="00A65E34" w:rsidRPr="007921D6">
        <w:rPr>
          <w:rFonts w:ascii="Calibri" w:hAnsi="Calibri" w:cs="Calibri"/>
          <w:sz w:val="24"/>
          <w:szCs w:val="24"/>
        </w:rPr>
        <w:t>roperty acquired</w:t>
      </w:r>
      <w:r>
        <w:rPr>
          <w:rFonts w:ascii="Calibri" w:hAnsi="Calibri" w:cs="Calibri"/>
          <w:sz w:val="24"/>
          <w:szCs w:val="24"/>
        </w:rPr>
        <w:t>, accepted, or from which a structure will be removed through the</w:t>
      </w:r>
      <w:r w:rsidR="00A65E34" w:rsidRPr="007921D6">
        <w:rPr>
          <w:rFonts w:ascii="Calibri" w:hAnsi="Calibri" w:cs="Calibri"/>
          <w:sz w:val="24"/>
          <w:szCs w:val="24"/>
        </w:rPr>
        <w:t xml:space="preserve"> buyout program will be </w:t>
      </w:r>
      <w:r w:rsidR="007F4585" w:rsidRPr="007921D6">
        <w:rPr>
          <w:rFonts w:ascii="Calibri" w:hAnsi="Calibri" w:cs="Calibri"/>
          <w:sz w:val="24"/>
          <w:szCs w:val="24"/>
        </w:rPr>
        <w:t xml:space="preserve">dedicated and maintained in perpetuity </w:t>
      </w:r>
      <w:r w:rsidR="00A65E34" w:rsidRPr="007921D6">
        <w:rPr>
          <w:rFonts w:ascii="Calibri" w:hAnsi="Calibri" w:cs="Calibri"/>
          <w:sz w:val="24"/>
          <w:szCs w:val="24"/>
        </w:rPr>
        <w:t xml:space="preserve">for a use that is compatible with open space, recreational, or floodplain and wetlands management practices, or other purposes allowed by HUD and accepted by the City and the GLO. </w:t>
      </w:r>
      <w:r w:rsidR="00DC4BBE">
        <w:rPr>
          <w:rFonts w:ascii="Calibri" w:hAnsi="Calibri" w:cs="Calibri"/>
          <w:sz w:val="24"/>
          <w:szCs w:val="24"/>
        </w:rPr>
        <w:t xml:space="preserve">No new structures will be erected other than: </w:t>
      </w:r>
    </w:p>
    <w:p w14:paraId="4B3414E2" w14:textId="32F9097B" w:rsidR="00DC4BBE" w:rsidRDefault="00DC4BBE" w:rsidP="00403998">
      <w:pPr>
        <w:pStyle w:val="ListParagraph"/>
        <w:numPr>
          <w:ilvl w:val="1"/>
          <w:numId w:val="1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 public facility that is open at all sides and functionally related to a designated open space (e.g., a park, campground, or outdoor recreation area);</w:t>
      </w:r>
    </w:p>
    <w:p w14:paraId="16ED8D00" w14:textId="16EBDE6C" w:rsidR="00DC4BBE" w:rsidRDefault="00DC4BBE" w:rsidP="00403998">
      <w:pPr>
        <w:pStyle w:val="ListParagraph"/>
        <w:numPr>
          <w:ilvl w:val="1"/>
          <w:numId w:val="1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 rest room; or </w:t>
      </w:r>
    </w:p>
    <w:p w14:paraId="71C08483" w14:textId="0694FEA2" w:rsidR="00DC4BBE" w:rsidRPr="00DC4BBE" w:rsidRDefault="00DC4BBE" w:rsidP="00403998">
      <w:pPr>
        <w:pStyle w:val="ListParagraph"/>
        <w:numPr>
          <w:ilvl w:val="1"/>
          <w:numId w:val="1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A flood control structure, provided that structure does not reduce valley storage, increase erosive velocities, or increase flood heights on the opposite bank, upstream or downstream, and that the local floodplain manager approves, in writing, before the commencement of the construction of the structure. </w:t>
      </w:r>
    </w:p>
    <w:p w14:paraId="3B381E9F" w14:textId="70E0BDCA" w:rsidR="00EC4119" w:rsidRDefault="00A65E34" w:rsidP="00E14863">
      <w:pPr>
        <w:pStyle w:val="ListParagraph"/>
        <w:numPr>
          <w:ilvl w:val="0"/>
          <w:numId w:val="17"/>
        </w:numPr>
        <w:autoSpaceDE w:val="0"/>
        <w:autoSpaceDN w:val="0"/>
        <w:adjustRightInd w:val="0"/>
        <w:spacing w:after="0" w:line="240" w:lineRule="auto"/>
        <w:ind w:left="450"/>
        <w:rPr>
          <w:rFonts w:ascii="Calibri" w:hAnsi="Calibri" w:cs="Calibri"/>
          <w:sz w:val="24"/>
          <w:szCs w:val="24"/>
        </w:rPr>
      </w:pPr>
      <w:r w:rsidRPr="007921D6">
        <w:rPr>
          <w:rFonts w:ascii="Calibri" w:hAnsi="Calibri" w:cs="Calibri"/>
          <w:sz w:val="24"/>
          <w:szCs w:val="24"/>
        </w:rPr>
        <w:t xml:space="preserve">After receipt of the assistance, with respect to any property acquired, accepted, or from which a structure was removed under the acquisition or relocation program, no subsequent application for additional disaster assistance for any purpose or to repair damage or make improvements of any sort will be made by the City to any </w:t>
      </w:r>
      <w:r w:rsidR="00E56875">
        <w:rPr>
          <w:rFonts w:ascii="Calibri" w:hAnsi="Calibri" w:cs="Calibri"/>
          <w:sz w:val="24"/>
          <w:szCs w:val="24"/>
        </w:rPr>
        <w:t>f</w:t>
      </w:r>
      <w:r w:rsidRPr="007921D6">
        <w:rPr>
          <w:rFonts w:ascii="Calibri" w:hAnsi="Calibri" w:cs="Calibri"/>
          <w:sz w:val="24"/>
          <w:szCs w:val="24"/>
        </w:rPr>
        <w:t xml:space="preserve">ederal entity </w:t>
      </w:r>
      <w:r w:rsidR="007F4585" w:rsidRPr="007921D6">
        <w:rPr>
          <w:rFonts w:ascii="Calibri" w:hAnsi="Calibri" w:cs="Calibri"/>
          <w:sz w:val="24"/>
          <w:szCs w:val="24"/>
        </w:rPr>
        <w:t>in perpetuity</w:t>
      </w:r>
      <w:r w:rsidR="00214BD2">
        <w:rPr>
          <w:rFonts w:ascii="Calibri" w:hAnsi="Calibri" w:cs="Calibri"/>
          <w:sz w:val="24"/>
          <w:szCs w:val="24"/>
        </w:rPr>
        <w:t xml:space="preserve"> for the property in question</w:t>
      </w:r>
      <w:r w:rsidRPr="007921D6">
        <w:rPr>
          <w:rFonts w:ascii="Calibri" w:hAnsi="Calibri" w:cs="Calibri"/>
          <w:sz w:val="24"/>
          <w:szCs w:val="24"/>
        </w:rPr>
        <w:t>.</w:t>
      </w:r>
    </w:p>
    <w:p w14:paraId="4D2EBB6F" w14:textId="4592A3D1" w:rsidR="00EC4119" w:rsidRDefault="00EC4119" w:rsidP="00E14863">
      <w:pPr>
        <w:pStyle w:val="ListParagraph"/>
        <w:numPr>
          <w:ilvl w:val="0"/>
          <w:numId w:val="17"/>
        </w:numPr>
        <w:autoSpaceDE w:val="0"/>
        <w:autoSpaceDN w:val="0"/>
        <w:adjustRightInd w:val="0"/>
        <w:spacing w:after="0" w:line="240" w:lineRule="auto"/>
        <w:ind w:left="450"/>
        <w:rPr>
          <w:rFonts w:ascii="Calibri" w:hAnsi="Calibri" w:cs="Calibri"/>
          <w:sz w:val="24"/>
          <w:szCs w:val="24"/>
        </w:rPr>
      </w:pPr>
      <w:r w:rsidRPr="00EC4119">
        <w:rPr>
          <w:rFonts w:ascii="Calibri" w:hAnsi="Calibri" w:cs="Calibri"/>
          <w:sz w:val="24"/>
          <w:szCs w:val="24"/>
        </w:rPr>
        <w:t xml:space="preserve"> All buyout activities must be classified using the ‘‘buyout’’ activity type in the D</w:t>
      </w:r>
      <w:r w:rsidR="00A01EDB">
        <w:rPr>
          <w:rFonts w:ascii="Calibri" w:hAnsi="Calibri" w:cs="Calibri"/>
          <w:sz w:val="24"/>
          <w:szCs w:val="24"/>
        </w:rPr>
        <w:t xml:space="preserve">isaster </w:t>
      </w:r>
      <w:r w:rsidRPr="00EC4119">
        <w:rPr>
          <w:rFonts w:ascii="Calibri" w:hAnsi="Calibri" w:cs="Calibri"/>
          <w:sz w:val="24"/>
          <w:szCs w:val="24"/>
        </w:rPr>
        <w:t>R</w:t>
      </w:r>
      <w:r w:rsidR="00A01EDB">
        <w:rPr>
          <w:rFonts w:ascii="Calibri" w:hAnsi="Calibri" w:cs="Calibri"/>
          <w:sz w:val="24"/>
          <w:szCs w:val="24"/>
        </w:rPr>
        <w:t xml:space="preserve">ecovery </w:t>
      </w:r>
      <w:r w:rsidRPr="00EC4119">
        <w:rPr>
          <w:rFonts w:ascii="Calibri" w:hAnsi="Calibri" w:cs="Calibri"/>
          <w:sz w:val="24"/>
          <w:szCs w:val="24"/>
        </w:rPr>
        <w:t>G</w:t>
      </w:r>
      <w:r w:rsidR="00A01EDB">
        <w:rPr>
          <w:rFonts w:ascii="Calibri" w:hAnsi="Calibri" w:cs="Calibri"/>
          <w:sz w:val="24"/>
          <w:szCs w:val="24"/>
        </w:rPr>
        <w:t xml:space="preserve">rant </w:t>
      </w:r>
      <w:r w:rsidRPr="00EC4119">
        <w:rPr>
          <w:rFonts w:ascii="Calibri" w:hAnsi="Calibri" w:cs="Calibri"/>
          <w:sz w:val="24"/>
          <w:szCs w:val="24"/>
        </w:rPr>
        <w:t>R</w:t>
      </w:r>
      <w:r w:rsidR="00A01EDB">
        <w:rPr>
          <w:rFonts w:ascii="Calibri" w:hAnsi="Calibri" w:cs="Calibri"/>
          <w:sz w:val="24"/>
          <w:szCs w:val="24"/>
        </w:rPr>
        <w:t>ecording (</w:t>
      </w:r>
      <w:r w:rsidR="00E56875">
        <w:rPr>
          <w:rFonts w:ascii="Calibri" w:hAnsi="Calibri" w:cs="Calibri"/>
          <w:sz w:val="24"/>
          <w:szCs w:val="24"/>
        </w:rPr>
        <w:t>“</w:t>
      </w:r>
      <w:r w:rsidR="00A01EDB">
        <w:rPr>
          <w:rFonts w:ascii="Calibri" w:hAnsi="Calibri" w:cs="Calibri"/>
          <w:sz w:val="24"/>
          <w:szCs w:val="24"/>
        </w:rPr>
        <w:t>DRGR</w:t>
      </w:r>
      <w:r w:rsidR="00E56875">
        <w:rPr>
          <w:rFonts w:ascii="Calibri" w:hAnsi="Calibri" w:cs="Calibri"/>
          <w:sz w:val="24"/>
          <w:szCs w:val="24"/>
        </w:rPr>
        <w:t>”</w:t>
      </w:r>
      <w:r w:rsidR="00A01EDB">
        <w:rPr>
          <w:rFonts w:ascii="Calibri" w:hAnsi="Calibri" w:cs="Calibri"/>
          <w:sz w:val="24"/>
          <w:szCs w:val="24"/>
        </w:rPr>
        <w:t>)</w:t>
      </w:r>
      <w:r w:rsidRPr="00EC4119">
        <w:rPr>
          <w:rFonts w:ascii="Calibri" w:hAnsi="Calibri" w:cs="Calibri"/>
          <w:sz w:val="24"/>
          <w:szCs w:val="24"/>
        </w:rPr>
        <w:t xml:space="preserve"> system. </w:t>
      </w:r>
    </w:p>
    <w:p w14:paraId="4813AA7C" w14:textId="77777777" w:rsidR="004E0BE6" w:rsidRPr="00CB120A" w:rsidRDefault="004E0BE6" w:rsidP="004E0BE6">
      <w:pPr>
        <w:pStyle w:val="ListParagraph"/>
        <w:autoSpaceDE w:val="0"/>
        <w:autoSpaceDN w:val="0"/>
        <w:adjustRightInd w:val="0"/>
        <w:spacing w:after="0" w:line="240" w:lineRule="auto"/>
        <w:ind w:left="450"/>
        <w:rPr>
          <w:rFonts w:ascii="Calibri" w:hAnsi="Calibri" w:cs="Calibri"/>
          <w:sz w:val="24"/>
          <w:szCs w:val="24"/>
        </w:rPr>
      </w:pPr>
    </w:p>
    <w:p w14:paraId="774E1307" w14:textId="76BC5D37" w:rsidR="00F951B4" w:rsidRDefault="00F951B4" w:rsidP="000307CA">
      <w:pPr>
        <w:pStyle w:val="Heading2"/>
        <w:spacing w:before="0" w:line="240" w:lineRule="auto"/>
        <w:rPr>
          <w:color w:val="5B9BD5" w:themeColor="accent5"/>
        </w:rPr>
      </w:pPr>
      <w:bookmarkStart w:id="23" w:name="_Toc8137177"/>
      <w:bookmarkStart w:id="24" w:name="_Toc22628980"/>
      <w:r w:rsidRPr="00A65E34">
        <w:rPr>
          <w:color w:val="5B9BD5" w:themeColor="accent5"/>
        </w:rPr>
        <w:t>Eligible Activities</w:t>
      </w:r>
      <w:bookmarkEnd w:id="23"/>
      <w:bookmarkEnd w:id="24"/>
    </w:p>
    <w:p w14:paraId="3351083C" w14:textId="6A766D97" w:rsidR="00E670A0" w:rsidRPr="00141DD3" w:rsidRDefault="000361E9" w:rsidP="00141DD3">
      <w:pPr>
        <w:spacing w:after="0" w:line="240" w:lineRule="auto"/>
        <w:rPr>
          <w:rFonts w:ascii="Calibri" w:hAnsi="Calibri" w:cs="Calibri"/>
          <w:sz w:val="24"/>
          <w:szCs w:val="24"/>
        </w:rPr>
      </w:pPr>
      <w:r w:rsidRPr="00141DD3">
        <w:rPr>
          <w:rFonts w:ascii="Calibri" w:hAnsi="Calibri" w:cs="Calibri"/>
          <w:sz w:val="24"/>
          <w:szCs w:val="24"/>
        </w:rPr>
        <w:t xml:space="preserve">Allowable cost can be applied to the following: </w:t>
      </w:r>
    </w:p>
    <w:p w14:paraId="1602447D" w14:textId="38180426" w:rsidR="006B0B3E" w:rsidRDefault="006B0B3E" w:rsidP="006B0B3E">
      <w:pPr>
        <w:pStyle w:val="ListParagraph"/>
        <w:numPr>
          <w:ilvl w:val="0"/>
          <w:numId w:val="16"/>
        </w:numPr>
        <w:autoSpaceDE w:val="0"/>
        <w:autoSpaceDN w:val="0"/>
        <w:adjustRightInd w:val="0"/>
        <w:spacing w:after="0" w:line="240" w:lineRule="auto"/>
        <w:ind w:left="450"/>
        <w:rPr>
          <w:rFonts w:ascii="Calibri" w:hAnsi="Calibri" w:cs="Calibri"/>
          <w:sz w:val="24"/>
          <w:szCs w:val="24"/>
        </w:rPr>
      </w:pPr>
      <w:r w:rsidRPr="00C97D84">
        <w:rPr>
          <w:rFonts w:ascii="Calibri" w:hAnsi="Calibri" w:cs="Calibri"/>
          <w:sz w:val="24"/>
          <w:szCs w:val="24"/>
        </w:rPr>
        <w:t>Acquisition of existing multifamily properties</w:t>
      </w:r>
      <w:r>
        <w:rPr>
          <w:rFonts w:ascii="Calibri" w:hAnsi="Calibri" w:cs="Calibri"/>
          <w:sz w:val="24"/>
          <w:szCs w:val="24"/>
        </w:rPr>
        <w:t xml:space="preserve"> and land</w:t>
      </w:r>
      <w:r w:rsidRPr="00C97D84">
        <w:rPr>
          <w:rFonts w:ascii="Calibri" w:hAnsi="Calibri" w:cs="Calibri"/>
          <w:sz w:val="24"/>
          <w:szCs w:val="24"/>
        </w:rPr>
        <w:t xml:space="preserve"> to create </w:t>
      </w:r>
      <w:r>
        <w:rPr>
          <w:rFonts w:ascii="Calibri" w:hAnsi="Calibri" w:cs="Calibri"/>
          <w:sz w:val="24"/>
          <w:szCs w:val="24"/>
        </w:rPr>
        <w:t>green spaces and/or detention.</w:t>
      </w:r>
    </w:p>
    <w:p w14:paraId="0C63F41C" w14:textId="223A6BFC" w:rsidR="008F4356" w:rsidRDefault="008F4356" w:rsidP="006B0B3E">
      <w:pPr>
        <w:pStyle w:val="ListParagraph"/>
        <w:numPr>
          <w:ilvl w:val="0"/>
          <w:numId w:val="16"/>
        </w:numPr>
        <w:autoSpaceDE w:val="0"/>
        <w:autoSpaceDN w:val="0"/>
        <w:adjustRightInd w:val="0"/>
        <w:spacing w:after="0" w:line="240" w:lineRule="auto"/>
        <w:ind w:left="450"/>
        <w:rPr>
          <w:rFonts w:ascii="Calibri" w:hAnsi="Calibri" w:cs="Calibri"/>
          <w:sz w:val="24"/>
          <w:szCs w:val="24"/>
        </w:rPr>
      </w:pPr>
      <w:r>
        <w:rPr>
          <w:rFonts w:ascii="Calibri" w:hAnsi="Calibri" w:cs="Calibri"/>
          <w:sz w:val="24"/>
          <w:szCs w:val="24"/>
        </w:rPr>
        <w:t xml:space="preserve">Post- closing cost related to acquiring the property. </w:t>
      </w:r>
    </w:p>
    <w:p w14:paraId="3C11F00C" w14:textId="077F09D3" w:rsidR="006B0B3E" w:rsidRDefault="006B0B3E" w:rsidP="006B0B3E">
      <w:pPr>
        <w:pStyle w:val="ListParagraph"/>
        <w:numPr>
          <w:ilvl w:val="0"/>
          <w:numId w:val="16"/>
        </w:numPr>
        <w:autoSpaceDE w:val="0"/>
        <w:autoSpaceDN w:val="0"/>
        <w:adjustRightInd w:val="0"/>
        <w:spacing w:after="0" w:line="240" w:lineRule="auto"/>
        <w:ind w:left="450"/>
        <w:rPr>
          <w:rFonts w:ascii="Calibri" w:hAnsi="Calibri" w:cs="Calibri"/>
          <w:sz w:val="24"/>
          <w:szCs w:val="24"/>
        </w:rPr>
      </w:pPr>
      <w:r w:rsidRPr="006B0B3E">
        <w:rPr>
          <w:rFonts w:ascii="Calibri" w:hAnsi="Calibri" w:cs="Calibri"/>
          <w:sz w:val="24"/>
          <w:szCs w:val="24"/>
        </w:rPr>
        <w:t>Demolition which will serve to reduce density</w:t>
      </w:r>
      <w:r>
        <w:rPr>
          <w:rFonts w:ascii="Calibri" w:hAnsi="Calibri" w:cs="Calibri"/>
          <w:sz w:val="24"/>
          <w:szCs w:val="24"/>
        </w:rPr>
        <w:t xml:space="preserve"> in vulnerable areas.</w:t>
      </w:r>
    </w:p>
    <w:p w14:paraId="2FA8A73D" w14:textId="4C16D01B" w:rsidR="008F4356" w:rsidRDefault="008F4356" w:rsidP="006B0B3E">
      <w:pPr>
        <w:pStyle w:val="ListParagraph"/>
        <w:numPr>
          <w:ilvl w:val="0"/>
          <w:numId w:val="16"/>
        </w:numPr>
        <w:autoSpaceDE w:val="0"/>
        <w:autoSpaceDN w:val="0"/>
        <w:adjustRightInd w:val="0"/>
        <w:spacing w:after="0" w:line="240" w:lineRule="auto"/>
        <w:ind w:left="450"/>
        <w:rPr>
          <w:rFonts w:ascii="Calibri" w:hAnsi="Calibri" w:cs="Calibri"/>
          <w:sz w:val="24"/>
          <w:szCs w:val="24"/>
        </w:rPr>
      </w:pPr>
      <w:r>
        <w:rPr>
          <w:rFonts w:ascii="Calibri" w:hAnsi="Calibri" w:cs="Calibri"/>
          <w:sz w:val="24"/>
          <w:szCs w:val="24"/>
        </w:rPr>
        <w:t xml:space="preserve">Asbestos abatement cost. </w:t>
      </w:r>
    </w:p>
    <w:p w14:paraId="1A56093E" w14:textId="72288411" w:rsidR="003D3EA4" w:rsidRPr="00C97D84" w:rsidRDefault="003D3EA4" w:rsidP="003D3EA4">
      <w:pPr>
        <w:pStyle w:val="ListParagraph"/>
        <w:numPr>
          <w:ilvl w:val="0"/>
          <w:numId w:val="16"/>
        </w:numPr>
        <w:autoSpaceDE w:val="0"/>
        <w:autoSpaceDN w:val="0"/>
        <w:adjustRightInd w:val="0"/>
        <w:spacing w:after="0" w:line="240" w:lineRule="auto"/>
        <w:ind w:left="450"/>
        <w:rPr>
          <w:rFonts w:ascii="Calibri" w:hAnsi="Calibri" w:cs="Calibri"/>
          <w:sz w:val="24"/>
          <w:szCs w:val="24"/>
        </w:rPr>
      </w:pPr>
      <w:r w:rsidRPr="00482B47">
        <w:rPr>
          <w:rFonts w:ascii="Calibri" w:hAnsi="Calibri" w:cs="Calibri"/>
          <w:sz w:val="24"/>
          <w:szCs w:val="24"/>
        </w:rPr>
        <w:t>Relocation</w:t>
      </w:r>
      <w:r>
        <w:rPr>
          <w:rFonts w:ascii="Calibri" w:hAnsi="Calibri" w:cs="Calibri"/>
          <w:sz w:val="24"/>
          <w:szCs w:val="24"/>
        </w:rPr>
        <w:t xml:space="preserve"> to remove owner-occupants and/or tenants from vulnerable </w:t>
      </w:r>
      <w:r w:rsidRPr="00A02D3C">
        <w:rPr>
          <w:rFonts w:ascii="Calibri" w:hAnsi="Calibri" w:cs="Calibri"/>
          <w:sz w:val="24"/>
          <w:szCs w:val="24"/>
        </w:rPr>
        <w:t>areas</w:t>
      </w:r>
      <w:r>
        <w:rPr>
          <w:rFonts w:ascii="Calibri" w:hAnsi="Calibri" w:cs="Calibri"/>
          <w:sz w:val="24"/>
          <w:szCs w:val="24"/>
        </w:rPr>
        <w:t xml:space="preserve">. </w:t>
      </w:r>
      <w:r w:rsidRPr="00A636EA">
        <w:rPr>
          <w:rFonts w:ascii="Calibri" w:hAnsi="Calibri" w:cs="Calibri"/>
          <w:i/>
          <w:sz w:val="24"/>
          <w:szCs w:val="24"/>
        </w:rPr>
        <w:t xml:space="preserve">Please </w:t>
      </w:r>
      <w:r>
        <w:rPr>
          <w:rFonts w:ascii="Calibri" w:hAnsi="Calibri" w:cs="Calibri"/>
          <w:i/>
          <w:sz w:val="24"/>
          <w:szCs w:val="24"/>
        </w:rPr>
        <w:t>refer to</w:t>
      </w:r>
      <w:r w:rsidRPr="00A636EA">
        <w:rPr>
          <w:rFonts w:ascii="Calibri" w:hAnsi="Calibri" w:cs="Calibri"/>
          <w:i/>
          <w:sz w:val="24"/>
          <w:szCs w:val="24"/>
        </w:rPr>
        <w:t xml:space="preserve"> “Uniform Relocation Act and Real Property Acquisition” on page 15 and page 17.  </w:t>
      </w:r>
    </w:p>
    <w:p w14:paraId="303AB954" w14:textId="77777777" w:rsidR="00F951B4" w:rsidRPr="00C97D84" w:rsidRDefault="00F951B4" w:rsidP="000307CA">
      <w:pPr>
        <w:autoSpaceDE w:val="0"/>
        <w:autoSpaceDN w:val="0"/>
        <w:adjustRightInd w:val="0"/>
        <w:spacing w:after="0" w:line="240" w:lineRule="auto"/>
        <w:ind w:left="840"/>
        <w:rPr>
          <w:rFonts w:ascii="Calibri" w:hAnsi="Calibri" w:cs="Calibri"/>
          <w:sz w:val="24"/>
          <w:szCs w:val="24"/>
        </w:rPr>
      </w:pPr>
    </w:p>
    <w:p w14:paraId="6A43FB18" w14:textId="2C8E3020" w:rsidR="00E76F11" w:rsidRPr="00D34D6A" w:rsidRDefault="00D34D6A" w:rsidP="000307CA">
      <w:pPr>
        <w:spacing w:after="0" w:line="240" w:lineRule="auto"/>
        <w:rPr>
          <w:rFonts w:ascii="Calibri" w:hAnsi="Calibri" w:cs="Calibri"/>
          <w:sz w:val="24"/>
          <w:szCs w:val="24"/>
        </w:rPr>
      </w:pPr>
      <w:r w:rsidRPr="00D34D6A">
        <w:rPr>
          <w:rFonts w:ascii="Calibri" w:hAnsi="Calibri" w:cs="Calibri"/>
          <w:sz w:val="24"/>
          <w:szCs w:val="24"/>
        </w:rPr>
        <w:t>HCDD’s Standard Operating Procedure (</w:t>
      </w:r>
      <w:r w:rsidR="00CA5D16">
        <w:rPr>
          <w:rFonts w:ascii="Calibri" w:hAnsi="Calibri" w:cs="Calibri"/>
          <w:sz w:val="24"/>
          <w:szCs w:val="24"/>
        </w:rPr>
        <w:t>“</w:t>
      </w:r>
      <w:r w:rsidRPr="00D34D6A">
        <w:rPr>
          <w:rFonts w:ascii="Calibri" w:hAnsi="Calibri" w:cs="Calibri"/>
          <w:sz w:val="24"/>
          <w:szCs w:val="24"/>
        </w:rPr>
        <w:t>SOP</w:t>
      </w:r>
      <w:r w:rsidR="00CA5D16">
        <w:rPr>
          <w:rFonts w:ascii="Calibri" w:hAnsi="Calibri" w:cs="Calibri"/>
          <w:sz w:val="24"/>
          <w:szCs w:val="24"/>
        </w:rPr>
        <w:t>”</w:t>
      </w:r>
      <w:r w:rsidRPr="00D34D6A">
        <w:rPr>
          <w:rFonts w:ascii="Calibri" w:hAnsi="Calibri" w:cs="Calibri"/>
          <w:sz w:val="24"/>
          <w:szCs w:val="24"/>
        </w:rPr>
        <w:t xml:space="preserve">) for the </w:t>
      </w:r>
      <w:r w:rsidR="00E56875">
        <w:rPr>
          <w:rFonts w:ascii="Calibri" w:hAnsi="Calibri" w:cs="Calibri"/>
          <w:sz w:val="24"/>
          <w:szCs w:val="24"/>
        </w:rPr>
        <w:t>MVB p</w:t>
      </w:r>
      <w:r w:rsidRPr="00D34D6A">
        <w:rPr>
          <w:rFonts w:ascii="Calibri" w:hAnsi="Calibri" w:cs="Calibri"/>
          <w:sz w:val="24"/>
          <w:szCs w:val="24"/>
        </w:rPr>
        <w:t>rogram will outline, document requirements</w:t>
      </w:r>
      <w:r w:rsidR="009E75FC">
        <w:rPr>
          <w:rFonts w:ascii="Calibri" w:hAnsi="Calibri" w:cs="Calibri"/>
          <w:sz w:val="24"/>
          <w:szCs w:val="24"/>
        </w:rPr>
        <w:t>,</w:t>
      </w:r>
      <w:r w:rsidRPr="00D34D6A">
        <w:rPr>
          <w:rFonts w:ascii="Calibri" w:hAnsi="Calibri" w:cs="Calibri"/>
          <w:sz w:val="24"/>
          <w:szCs w:val="24"/>
        </w:rPr>
        <w:t xml:space="preserve"> and evaluation methodologies for all activities listed.  </w:t>
      </w:r>
      <w:r w:rsidR="000361E9">
        <w:rPr>
          <w:rFonts w:ascii="Calibri" w:hAnsi="Calibri" w:cs="Calibri"/>
          <w:sz w:val="24"/>
          <w:szCs w:val="24"/>
        </w:rPr>
        <w:t xml:space="preserve">All acquisition cost will be supported by an independent appraisal report. </w:t>
      </w:r>
    </w:p>
    <w:p w14:paraId="4DB55090" w14:textId="3FE07815" w:rsidR="00F951B4" w:rsidRDefault="00F951B4" w:rsidP="000307CA">
      <w:pPr>
        <w:autoSpaceDE w:val="0"/>
        <w:autoSpaceDN w:val="0"/>
        <w:adjustRightInd w:val="0"/>
        <w:spacing w:after="0" w:line="240" w:lineRule="auto"/>
        <w:rPr>
          <w:rFonts w:ascii="Calibri" w:hAnsi="Calibri" w:cs="Calibri"/>
          <w:sz w:val="24"/>
          <w:szCs w:val="24"/>
        </w:rPr>
      </w:pPr>
    </w:p>
    <w:p w14:paraId="7ABF88DC" w14:textId="65D8FA0A" w:rsidR="00104EDB" w:rsidRPr="00B56441" w:rsidRDefault="00104EDB" w:rsidP="000307CA">
      <w:pPr>
        <w:pStyle w:val="Heading2"/>
        <w:spacing w:before="0" w:line="240" w:lineRule="auto"/>
        <w:rPr>
          <w:color w:val="5B9BD5" w:themeColor="accent5"/>
        </w:rPr>
      </w:pPr>
      <w:bookmarkStart w:id="25" w:name="_Toc8137178"/>
      <w:bookmarkStart w:id="26" w:name="_Toc22628981"/>
      <w:r w:rsidRPr="00B56441">
        <w:rPr>
          <w:color w:val="5B9BD5" w:themeColor="accent5"/>
        </w:rPr>
        <w:t>Maximum Assistance</w:t>
      </w:r>
      <w:bookmarkEnd w:id="25"/>
      <w:bookmarkEnd w:id="26"/>
      <w:r w:rsidRPr="00B56441">
        <w:rPr>
          <w:color w:val="5B9BD5" w:themeColor="accent5"/>
        </w:rPr>
        <w:t xml:space="preserve"> </w:t>
      </w:r>
    </w:p>
    <w:p w14:paraId="20F24D18" w14:textId="0E77F49D" w:rsidR="00104EDB" w:rsidRPr="00B56441" w:rsidRDefault="00214BD2" w:rsidP="000307CA">
      <w:pPr>
        <w:spacing w:after="0" w:line="240" w:lineRule="auto"/>
        <w:rPr>
          <w:rFonts w:ascii="Calibri" w:hAnsi="Calibri" w:cs="Calibri"/>
          <w:sz w:val="24"/>
          <w:szCs w:val="24"/>
        </w:rPr>
      </w:pPr>
      <w:r>
        <w:rPr>
          <w:rFonts w:ascii="Calibri" w:hAnsi="Calibri" w:cs="Calibri"/>
          <w:sz w:val="24"/>
          <w:szCs w:val="24"/>
        </w:rPr>
        <w:t>Will be limited to the m</w:t>
      </w:r>
      <w:r w:rsidR="00104EDB" w:rsidRPr="00C97D84">
        <w:rPr>
          <w:rFonts w:ascii="Calibri" w:hAnsi="Calibri" w:cs="Calibri"/>
          <w:sz w:val="24"/>
          <w:szCs w:val="24"/>
        </w:rPr>
        <w:t>aximum</w:t>
      </w:r>
      <w:r>
        <w:rPr>
          <w:rFonts w:ascii="Calibri" w:hAnsi="Calibri" w:cs="Calibri"/>
          <w:sz w:val="24"/>
          <w:szCs w:val="24"/>
        </w:rPr>
        <w:t xml:space="preserve"> amount allocated to The City of Houston, which is $23,486,698.00</w:t>
      </w:r>
      <w:r w:rsidR="00104EDB" w:rsidRPr="00C97D84">
        <w:rPr>
          <w:rFonts w:ascii="Calibri" w:hAnsi="Calibri" w:cs="Calibri"/>
          <w:sz w:val="24"/>
          <w:szCs w:val="24"/>
        </w:rPr>
        <w:t>.</w:t>
      </w:r>
      <w:r w:rsidR="00104EDB">
        <w:rPr>
          <w:rFonts w:ascii="Calibri" w:hAnsi="Calibri" w:cs="Calibri"/>
          <w:sz w:val="24"/>
          <w:szCs w:val="24"/>
        </w:rPr>
        <w:t xml:space="preserve"> </w:t>
      </w:r>
    </w:p>
    <w:p w14:paraId="216B9A51" w14:textId="77777777" w:rsidR="00F951B4" w:rsidRDefault="00F951B4" w:rsidP="000307CA">
      <w:pPr>
        <w:autoSpaceDE w:val="0"/>
        <w:autoSpaceDN w:val="0"/>
        <w:adjustRightInd w:val="0"/>
        <w:spacing w:after="0" w:line="240" w:lineRule="auto"/>
        <w:rPr>
          <w:rFonts w:ascii="Calibri" w:hAnsi="Calibri" w:cs="Calibri"/>
          <w:sz w:val="24"/>
          <w:szCs w:val="24"/>
        </w:rPr>
      </w:pPr>
    </w:p>
    <w:p w14:paraId="46D8A0C6" w14:textId="659E83C5" w:rsidR="00A04DED" w:rsidRPr="00A04DED" w:rsidRDefault="00CB471C" w:rsidP="00A04DED">
      <w:pPr>
        <w:pStyle w:val="Title"/>
        <w:spacing w:after="0"/>
        <w:outlineLvl w:val="0"/>
        <w:rPr>
          <w:rFonts w:ascii="Calibri" w:hAnsi="Calibri" w:cs="Calibri"/>
          <w:smallCaps w:val="0"/>
          <w:color w:val="0070C0"/>
          <w:sz w:val="36"/>
          <w:szCs w:val="36"/>
        </w:rPr>
      </w:pPr>
      <w:bookmarkStart w:id="27" w:name="_Toc22628982"/>
      <w:r>
        <w:rPr>
          <w:rStyle w:val="IntenseReference"/>
          <w:rFonts w:ascii="Calibri" w:hAnsi="Calibri" w:cs="Calibri"/>
          <w:b w:val="0"/>
          <w:bCs w:val="0"/>
          <w:color w:val="0070C0"/>
          <w:sz w:val="36"/>
          <w:szCs w:val="36"/>
        </w:rPr>
        <w:t xml:space="preserve">MVB </w:t>
      </w:r>
      <w:r w:rsidR="00DC5162">
        <w:rPr>
          <w:rStyle w:val="IntenseReference"/>
          <w:rFonts w:ascii="Calibri" w:hAnsi="Calibri" w:cs="Calibri"/>
          <w:b w:val="0"/>
          <w:bCs w:val="0"/>
          <w:color w:val="0070C0"/>
          <w:sz w:val="36"/>
          <w:szCs w:val="36"/>
        </w:rPr>
        <w:t>Program Prioritization</w:t>
      </w:r>
      <w:bookmarkEnd w:id="27"/>
      <w:r w:rsidR="00A94AAB" w:rsidRPr="00C97D84">
        <w:rPr>
          <w:rStyle w:val="IntenseReference"/>
          <w:rFonts w:ascii="Calibri" w:hAnsi="Calibri" w:cs="Calibri"/>
          <w:b w:val="0"/>
          <w:bCs w:val="0"/>
          <w:color w:val="0070C0"/>
          <w:sz w:val="36"/>
          <w:szCs w:val="36"/>
        </w:rPr>
        <w:t xml:space="preserve"> </w:t>
      </w:r>
    </w:p>
    <w:p w14:paraId="01263974" w14:textId="2F70F8E5" w:rsidR="004B45B4" w:rsidRDefault="00CB471C" w:rsidP="00A04DED">
      <w:pPr>
        <w:pStyle w:val="TOCI"/>
        <w:numPr>
          <w:ilvl w:val="0"/>
          <w:numId w:val="0"/>
        </w:numPr>
        <w:spacing w:after="0" w:line="240" w:lineRule="auto"/>
        <w:rPr>
          <w:rFonts w:cs="Calibri"/>
          <w:color w:val="auto"/>
        </w:rPr>
      </w:pPr>
      <w:r w:rsidRPr="00A04DED">
        <w:rPr>
          <w:rFonts w:cs="Calibri"/>
          <w:color w:val="auto"/>
        </w:rPr>
        <w:t>HCDD in partnership with HPW has established funding prior</w:t>
      </w:r>
      <w:r w:rsidR="004B45B4">
        <w:rPr>
          <w:rFonts w:cs="Calibri"/>
          <w:color w:val="auto"/>
        </w:rPr>
        <w:t>ities</w:t>
      </w:r>
      <w:r w:rsidR="004B45B4" w:rsidRPr="00A04DED">
        <w:rPr>
          <w:rFonts w:cs="Calibri"/>
          <w:color w:val="auto"/>
        </w:rPr>
        <w:t xml:space="preserve"> for multifamily development based on the following: </w:t>
      </w:r>
    </w:p>
    <w:p w14:paraId="7A1664B1" w14:textId="711E8C69" w:rsidR="004B45B4" w:rsidRDefault="004B45B4" w:rsidP="00A04DED">
      <w:pPr>
        <w:pStyle w:val="TOCI"/>
        <w:numPr>
          <w:ilvl w:val="0"/>
          <w:numId w:val="44"/>
        </w:numPr>
        <w:spacing w:after="0" w:line="240" w:lineRule="auto"/>
        <w:rPr>
          <w:rFonts w:cs="Calibri"/>
          <w:color w:val="auto"/>
        </w:rPr>
      </w:pPr>
      <w:r>
        <w:rPr>
          <w:rFonts w:cs="Calibri"/>
          <w:color w:val="auto"/>
        </w:rPr>
        <w:t xml:space="preserve">Properties located in a Floodway and/or Floodplain </w:t>
      </w:r>
    </w:p>
    <w:p w14:paraId="2539C7CD" w14:textId="78FE1D81" w:rsidR="004B45B4" w:rsidRPr="00A22500" w:rsidRDefault="004B45B4" w:rsidP="00A04DED">
      <w:pPr>
        <w:pStyle w:val="TOCI"/>
        <w:numPr>
          <w:ilvl w:val="0"/>
          <w:numId w:val="44"/>
        </w:numPr>
        <w:spacing w:after="0" w:line="240" w:lineRule="auto"/>
        <w:rPr>
          <w:rFonts w:cs="Calibri"/>
          <w:color w:val="auto"/>
        </w:rPr>
      </w:pPr>
      <w:r w:rsidRPr="00A22500">
        <w:rPr>
          <w:rFonts w:cs="Calibri"/>
          <w:color w:val="auto"/>
        </w:rPr>
        <w:t xml:space="preserve">Properties affected by the 2016 Flood Events </w:t>
      </w:r>
    </w:p>
    <w:p w14:paraId="495435C9" w14:textId="62404EF9" w:rsidR="004B45B4" w:rsidRPr="00A22500" w:rsidRDefault="004B45B4" w:rsidP="00A04DED">
      <w:pPr>
        <w:pStyle w:val="TOCI"/>
        <w:numPr>
          <w:ilvl w:val="0"/>
          <w:numId w:val="44"/>
        </w:numPr>
        <w:spacing w:after="0" w:line="240" w:lineRule="auto"/>
        <w:rPr>
          <w:rFonts w:cs="Calibri"/>
          <w:color w:val="auto"/>
        </w:rPr>
      </w:pPr>
      <w:r w:rsidRPr="00A22500">
        <w:rPr>
          <w:rFonts w:cs="Calibri"/>
          <w:color w:val="auto"/>
        </w:rPr>
        <w:t>Properties with repetitive flood loss from the years 2015-2017</w:t>
      </w:r>
    </w:p>
    <w:p w14:paraId="5982D95C" w14:textId="62147842" w:rsidR="00524B3D" w:rsidRPr="00C97D84" w:rsidRDefault="004B45B4" w:rsidP="008E7AD4">
      <w:pPr>
        <w:pStyle w:val="TOCI"/>
        <w:numPr>
          <w:ilvl w:val="0"/>
          <w:numId w:val="44"/>
        </w:numPr>
        <w:spacing w:after="0" w:line="240" w:lineRule="auto"/>
        <w:rPr>
          <w:color w:val="000000"/>
          <w:u w:val="single"/>
        </w:rPr>
      </w:pPr>
      <w:r>
        <w:rPr>
          <w:rFonts w:cs="Calibri"/>
          <w:color w:val="auto"/>
        </w:rPr>
        <w:t xml:space="preserve">Properties located or adjacent to </w:t>
      </w:r>
      <w:r w:rsidR="00A04DED">
        <w:rPr>
          <w:rFonts w:cs="Calibri"/>
          <w:color w:val="auto"/>
        </w:rPr>
        <w:t xml:space="preserve">an </w:t>
      </w:r>
      <w:r>
        <w:rPr>
          <w:rFonts w:cs="Calibri"/>
          <w:color w:val="auto"/>
        </w:rPr>
        <w:t>ongoing HPW mitigation p</w:t>
      </w:r>
      <w:r w:rsidR="00A04DED">
        <w:rPr>
          <w:rFonts w:cs="Calibri"/>
          <w:color w:val="auto"/>
        </w:rPr>
        <w:t>roject, which supports the overall program</w:t>
      </w:r>
      <w:r>
        <w:rPr>
          <w:rFonts w:cs="Calibri"/>
          <w:color w:val="auto"/>
        </w:rPr>
        <w:t xml:space="preserve"> to reduce the risk of </w:t>
      </w:r>
      <w:r w:rsidR="00A04DED">
        <w:rPr>
          <w:rFonts w:cs="Calibri"/>
          <w:color w:val="auto"/>
        </w:rPr>
        <w:t xml:space="preserve">future </w:t>
      </w:r>
      <w:r>
        <w:rPr>
          <w:rFonts w:cs="Calibri"/>
          <w:color w:val="auto"/>
        </w:rPr>
        <w:t xml:space="preserve">flooding.  </w:t>
      </w:r>
    </w:p>
    <w:p w14:paraId="249BF9EC" w14:textId="526B33E2" w:rsidR="00203DFE" w:rsidRPr="00357678" w:rsidRDefault="00203DFE" w:rsidP="000307CA">
      <w:pPr>
        <w:spacing w:after="0" w:line="240" w:lineRule="auto"/>
        <w:rPr>
          <w:rFonts w:asciiTheme="minorHAnsi" w:hAnsiTheme="minorHAnsi"/>
          <w:sz w:val="24"/>
        </w:rPr>
      </w:pPr>
    </w:p>
    <w:p w14:paraId="53CC0236" w14:textId="52EE02F6" w:rsidR="00203DFE" w:rsidRDefault="00203DFE" w:rsidP="000307CA">
      <w:pPr>
        <w:pStyle w:val="Title"/>
        <w:spacing w:after="0"/>
        <w:outlineLvl w:val="0"/>
        <w:rPr>
          <w:rStyle w:val="IntenseReference"/>
          <w:rFonts w:ascii="Calibri" w:hAnsi="Calibri" w:cs="Calibri"/>
          <w:b w:val="0"/>
          <w:bCs w:val="0"/>
          <w:color w:val="0070C0"/>
          <w:sz w:val="36"/>
          <w:szCs w:val="36"/>
        </w:rPr>
      </w:pPr>
      <w:bookmarkStart w:id="28" w:name="_Toc8137182"/>
      <w:bookmarkStart w:id="29" w:name="_Toc22628983"/>
      <w:r>
        <w:rPr>
          <w:rStyle w:val="IntenseReference"/>
          <w:rFonts w:ascii="Calibri" w:hAnsi="Calibri" w:cs="Calibri"/>
          <w:b w:val="0"/>
          <w:bCs w:val="0"/>
          <w:color w:val="0070C0"/>
          <w:sz w:val="36"/>
          <w:szCs w:val="36"/>
        </w:rPr>
        <w:t>Selection Criteria</w:t>
      </w:r>
      <w:bookmarkEnd w:id="28"/>
      <w:bookmarkEnd w:id="29"/>
    </w:p>
    <w:p w14:paraId="1743BC52" w14:textId="4160022E" w:rsidR="00203DFE" w:rsidRPr="00203DFE" w:rsidRDefault="00203DFE" w:rsidP="00E14863">
      <w:pPr>
        <w:pStyle w:val="ListParagraph"/>
        <w:numPr>
          <w:ilvl w:val="0"/>
          <w:numId w:val="23"/>
        </w:numPr>
        <w:spacing w:after="0" w:line="240" w:lineRule="auto"/>
        <w:rPr>
          <w:rFonts w:ascii="Calibri" w:hAnsi="Calibri" w:cs="Calibri"/>
          <w:color w:val="000000"/>
          <w:sz w:val="24"/>
          <w:szCs w:val="24"/>
        </w:rPr>
      </w:pPr>
      <w:r>
        <w:rPr>
          <w:rFonts w:ascii="Calibri" w:hAnsi="Calibri" w:cs="Calibri"/>
          <w:color w:val="000000"/>
          <w:sz w:val="24"/>
          <w:szCs w:val="24"/>
        </w:rPr>
        <w:t xml:space="preserve">Projects identified by </w:t>
      </w:r>
      <w:r w:rsidR="00745872">
        <w:rPr>
          <w:rFonts w:ascii="Calibri" w:hAnsi="Calibri" w:cs="Calibri"/>
          <w:color w:val="000000"/>
          <w:sz w:val="24"/>
          <w:szCs w:val="24"/>
        </w:rPr>
        <w:t>Houston Public Works (“H</w:t>
      </w:r>
      <w:r>
        <w:rPr>
          <w:rFonts w:ascii="Calibri" w:hAnsi="Calibri" w:cs="Calibri"/>
          <w:color w:val="000000"/>
          <w:sz w:val="24"/>
          <w:szCs w:val="24"/>
        </w:rPr>
        <w:t>PW</w:t>
      </w:r>
      <w:r w:rsidR="00745872">
        <w:rPr>
          <w:rFonts w:ascii="Calibri" w:hAnsi="Calibri" w:cs="Calibri"/>
          <w:color w:val="000000"/>
          <w:sz w:val="24"/>
          <w:szCs w:val="24"/>
        </w:rPr>
        <w:t>”)</w:t>
      </w:r>
      <w:r w:rsidRPr="00203DFE">
        <w:rPr>
          <w:rFonts w:ascii="Calibri" w:hAnsi="Calibri" w:cs="Calibri"/>
          <w:color w:val="000000"/>
          <w:sz w:val="24"/>
          <w:szCs w:val="24"/>
        </w:rPr>
        <w:t xml:space="preserve"> will create additional benefit</w:t>
      </w:r>
      <w:r>
        <w:rPr>
          <w:rFonts w:ascii="Calibri" w:hAnsi="Calibri" w:cs="Calibri"/>
          <w:color w:val="000000"/>
          <w:sz w:val="24"/>
          <w:szCs w:val="24"/>
        </w:rPr>
        <w:t xml:space="preserve">s to </w:t>
      </w:r>
      <w:r w:rsidR="00E56875">
        <w:rPr>
          <w:rFonts w:ascii="Calibri" w:hAnsi="Calibri" w:cs="Calibri"/>
          <w:color w:val="000000"/>
          <w:sz w:val="24"/>
          <w:szCs w:val="24"/>
        </w:rPr>
        <w:t>LMI</w:t>
      </w:r>
      <w:r>
        <w:rPr>
          <w:rFonts w:ascii="Calibri" w:hAnsi="Calibri" w:cs="Calibri"/>
          <w:color w:val="000000"/>
          <w:sz w:val="24"/>
          <w:szCs w:val="24"/>
        </w:rPr>
        <w:t xml:space="preserve"> areas</w:t>
      </w:r>
      <w:r w:rsidR="00E9013E">
        <w:rPr>
          <w:rFonts w:ascii="Calibri" w:hAnsi="Calibri" w:cs="Calibri"/>
          <w:color w:val="000000"/>
          <w:sz w:val="24"/>
          <w:szCs w:val="24"/>
        </w:rPr>
        <w:t>.</w:t>
      </w:r>
    </w:p>
    <w:p w14:paraId="47858E7D" w14:textId="1B40654C" w:rsidR="005E6433" w:rsidRPr="00C6196F" w:rsidRDefault="00D34D6A" w:rsidP="00C6196F">
      <w:pPr>
        <w:pStyle w:val="ListParagraph"/>
        <w:numPr>
          <w:ilvl w:val="0"/>
          <w:numId w:val="23"/>
        </w:numPr>
        <w:spacing w:after="0" w:line="240" w:lineRule="auto"/>
        <w:rPr>
          <w:rFonts w:ascii="Calibri" w:hAnsi="Calibri" w:cs="Calibri"/>
          <w:color w:val="000000"/>
          <w:sz w:val="24"/>
          <w:szCs w:val="24"/>
        </w:rPr>
      </w:pPr>
      <w:r w:rsidRPr="00D34D6A">
        <w:rPr>
          <w:rFonts w:ascii="Calibri" w:hAnsi="Calibri" w:cs="Calibri"/>
          <w:color w:val="000000"/>
          <w:sz w:val="24"/>
          <w:szCs w:val="24"/>
        </w:rPr>
        <w:t>The hazard must have been caused or exacerbated by the Presidentially declared disaster for which the</w:t>
      </w:r>
      <w:r w:rsidR="00E0508F" w:rsidRPr="00E0508F">
        <w:rPr>
          <w:rFonts w:ascii="Calibri" w:hAnsi="Calibri" w:cs="Calibri"/>
          <w:color w:val="000000"/>
          <w:sz w:val="24"/>
          <w:szCs w:val="24"/>
        </w:rPr>
        <w:t xml:space="preserve"> </w:t>
      </w:r>
      <w:r w:rsidR="00E75DA5">
        <w:rPr>
          <w:rFonts w:ascii="Calibri" w:hAnsi="Calibri" w:cs="Calibri"/>
          <w:color w:val="000000"/>
          <w:sz w:val="24"/>
          <w:szCs w:val="24"/>
        </w:rPr>
        <w:t>City</w:t>
      </w:r>
      <w:r w:rsidR="00E75DA5" w:rsidRPr="00D34D6A">
        <w:rPr>
          <w:rFonts w:ascii="Calibri" w:hAnsi="Calibri" w:cs="Calibri"/>
          <w:color w:val="000000"/>
          <w:sz w:val="24"/>
          <w:szCs w:val="24"/>
        </w:rPr>
        <w:t xml:space="preserve"> </w:t>
      </w:r>
      <w:r w:rsidRPr="00D34D6A">
        <w:rPr>
          <w:rFonts w:ascii="Calibri" w:hAnsi="Calibri" w:cs="Calibri"/>
          <w:color w:val="000000"/>
          <w:sz w:val="24"/>
          <w:szCs w:val="24"/>
        </w:rPr>
        <w:t>r</w:t>
      </w:r>
      <w:r w:rsidR="00E9013E">
        <w:rPr>
          <w:rFonts w:ascii="Calibri" w:hAnsi="Calibri" w:cs="Calibri"/>
          <w:color w:val="000000"/>
          <w:sz w:val="24"/>
          <w:szCs w:val="24"/>
        </w:rPr>
        <w:t>eceived its CDBG–DR allocation.</w:t>
      </w:r>
    </w:p>
    <w:p w14:paraId="223CDC71" w14:textId="54A5C3D8" w:rsidR="00D34D6A" w:rsidRDefault="00F36E6F" w:rsidP="00E14863">
      <w:pPr>
        <w:pStyle w:val="ListParagraph"/>
        <w:numPr>
          <w:ilvl w:val="0"/>
          <w:numId w:val="23"/>
        </w:numPr>
        <w:spacing w:after="0" w:line="240" w:lineRule="auto"/>
        <w:rPr>
          <w:rFonts w:ascii="Calibri" w:hAnsi="Calibri" w:cs="Calibri"/>
          <w:color w:val="000000"/>
          <w:sz w:val="24"/>
          <w:szCs w:val="24"/>
        </w:rPr>
      </w:pPr>
      <w:r>
        <w:rPr>
          <w:rFonts w:ascii="Calibri" w:hAnsi="Calibri" w:cs="Calibri"/>
          <w:color w:val="000000"/>
          <w:sz w:val="24"/>
          <w:szCs w:val="24"/>
        </w:rPr>
        <w:t>T</w:t>
      </w:r>
      <w:r w:rsidR="00D34D6A" w:rsidRPr="00D34D6A">
        <w:rPr>
          <w:rFonts w:ascii="Calibri" w:hAnsi="Calibri" w:cs="Calibri"/>
          <w:color w:val="000000"/>
          <w:sz w:val="24"/>
          <w:szCs w:val="24"/>
        </w:rPr>
        <w:t xml:space="preserve">he hazard must be a predictable environmental threat to the safety and well-being of program beneficiaries, as evidenced by the </w:t>
      </w:r>
      <w:r w:rsidR="00E9013E">
        <w:rPr>
          <w:rFonts w:ascii="Calibri" w:hAnsi="Calibri" w:cs="Calibri"/>
          <w:color w:val="000000"/>
          <w:sz w:val="24"/>
          <w:szCs w:val="24"/>
        </w:rPr>
        <w:t>best available data and science.</w:t>
      </w:r>
    </w:p>
    <w:p w14:paraId="7657275B" w14:textId="65383A3E" w:rsidR="00011835" w:rsidRPr="00685707" w:rsidRDefault="00011835" w:rsidP="00685707">
      <w:pPr>
        <w:pStyle w:val="ListParagraph"/>
        <w:numPr>
          <w:ilvl w:val="0"/>
          <w:numId w:val="23"/>
        </w:numPr>
        <w:autoSpaceDE w:val="0"/>
        <w:autoSpaceDN w:val="0"/>
        <w:adjustRightInd w:val="0"/>
        <w:spacing w:after="0" w:line="240" w:lineRule="auto"/>
        <w:rPr>
          <w:rFonts w:ascii="Calibri" w:hAnsi="Calibri" w:cs="Calibri"/>
          <w:sz w:val="24"/>
          <w:szCs w:val="24"/>
        </w:rPr>
      </w:pPr>
      <w:r w:rsidRPr="00C97D84">
        <w:rPr>
          <w:rFonts w:ascii="Calibri" w:hAnsi="Calibri" w:cs="Calibri"/>
          <w:sz w:val="24"/>
          <w:szCs w:val="24"/>
        </w:rPr>
        <w:lastRenderedPageBreak/>
        <w:t xml:space="preserve">All awarded </w:t>
      </w:r>
      <w:r w:rsidR="00990699">
        <w:rPr>
          <w:rFonts w:ascii="Calibri" w:hAnsi="Calibri" w:cs="Calibri"/>
          <w:sz w:val="24"/>
          <w:szCs w:val="24"/>
        </w:rPr>
        <w:t>multifamily developments</w:t>
      </w:r>
      <w:r w:rsidRPr="00C97D84">
        <w:rPr>
          <w:rFonts w:ascii="Calibri" w:hAnsi="Calibri" w:cs="Calibri"/>
          <w:sz w:val="24"/>
          <w:szCs w:val="24"/>
        </w:rPr>
        <w:t xml:space="preserve"> will be evaluated through an environmental and Affirmatively Furthering Fair Housing (</w:t>
      </w:r>
      <w:r w:rsidR="00E56875">
        <w:rPr>
          <w:rFonts w:ascii="Calibri" w:hAnsi="Calibri" w:cs="Calibri"/>
          <w:sz w:val="24"/>
          <w:szCs w:val="24"/>
        </w:rPr>
        <w:t>“</w:t>
      </w:r>
      <w:r w:rsidRPr="00C97D84">
        <w:rPr>
          <w:rFonts w:ascii="Calibri" w:hAnsi="Calibri" w:cs="Calibri"/>
          <w:sz w:val="24"/>
          <w:szCs w:val="24"/>
        </w:rPr>
        <w:t>AFFH</w:t>
      </w:r>
      <w:r w:rsidR="00A22500">
        <w:rPr>
          <w:rFonts w:ascii="Calibri" w:hAnsi="Calibri" w:cs="Calibri"/>
          <w:sz w:val="24"/>
          <w:szCs w:val="24"/>
        </w:rPr>
        <w:t>”</w:t>
      </w:r>
      <w:r w:rsidRPr="00C97D84">
        <w:rPr>
          <w:rFonts w:ascii="Calibri" w:hAnsi="Calibri" w:cs="Calibri"/>
          <w:sz w:val="24"/>
          <w:szCs w:val="24"/>
        </w:rPr>
        <w:t>) review.</w:t>
      </w:r>
    </w:p>
    <w:p w14:paraId="7DF27A6E" w14:textId="6E7E5FE8" w:rsidR="00074D1D" w:rsidRDefault="00074D1D" w:rsidP="000307CA">
      <w:pPr>
        <w:spacing w:after="0" w:line="240" w:lineRule="auto"/>
        <w:rPr>
          <w:rFonts w:ascii="Calibri" w:hAnsi="Calibri" w:cs="Calibri"/>
          <w:color w:val="000000"/>
          <w:sz w:val="24"/>
          <w:szCs w:val="24"/>
        </w:rPr>
      </w:pPr>
    </w:p>
    <w:p w14:paraId="226D09DC" w14:textId="1366D25D" w:rsidR="00074D1D" w:rsidRDefault="00074D1D" w:rsidP="000307CA">
      <w:pPr>
        <w:spacing w:after="0" w:line="240" w:lineRule="auto"/>
        <w:rPr>
          <w:rFonts w:ascii="Calibri" w:hAnsi="Calibri"/>
          <w:sz w:val="24"/>
          <w:szCs w:val="24"/>
        </w:rPr>
      </w:pPr>
      <w:r>
        <w:rPr>
          <w:rFonts w:ascii="Calibri" w:hAnsi="Calibri"/>
          <w:sz w:val="24"/>
          <w:szCs w:val="24"/>
        </w:rPr>
        <w:t>A</w:t>
      </w:r>
      <w:r w:rsidRPr="00355B96">
        <w:rPr>
          <w:rFonts w:ascii="Calibri" w:hAnsi="Calibri"/>
          <w:sz w:val="24"/>
          <w:szCs w:val="24"/>
        </w:rPr>
        <w:t xml:space="preserve"> program that provides </w:t>
      </w:r>
      <w:r w:rsidR="00ED7451" w:rsidRPr="00355B96">
        <w:rPr>
          <w:rFonts w:ascii="Calibri" w:hAnsi="Calibri"/>
          <w:sz w:val="24"/>
          <w:szCs w:val="24"/>
        </w:rPr>
        <w:t xml:space="preserve">post-disaster </w:t>
      </w:r>
      <w:r w:rsidR="00ED7451">
        <w:rPr>
          <w:rFonts w:ascii="Calibri" w:hAnsi="Calibri"/>
          <w:sz w:val="24"/>
          <w:szCs w:val="24"/>
        </w:rPr>
        <w:t>Fair Market Value (“</w:t>
      </w:r>
      <w:r w:rsidR="00ED7451" w:rsidRPr="00355B96">
        <w:rPr>
          <w:rFonts w:ascii="Calibri" w:hAnsi="Calibri"/>
          <w:sz w:val="24"/>
          <w:szCs w:val="24"/>
        </w:rPr>
        <w:t>FMV</w:t>
      </w:r>
      <w:r w:rsidR="00ED7451">
        <w:rPr>
          <w:rFonts w:ascii="Calibri" w:hAnsi="Calibri"/>
          <w:sz w:val="24"/>
          <w:szCs w:val="24"/>
        </w:rPr>
        <w:t>”)</w:t>
      </w:r>
      <w:r w:rsidR="00ED7451" w:rsidRPr="00355B96">
        <w:rPr>
          <w:rFonts w:ascii="Calibri" w:hAnsi="Calibri"/>
          <w:sz w:val="24"/>
          <w:szCs w:val="24"/>
        </w:rPr>
        <w:t xml:space="preserve"> </w:t>
      </w:r>
      <w:r w:rsidRPr="00355B96">
        <w:rPr>
          <w:rFonts w:ascii="Calibri" w:hAnsi="Calibri"/>
          <w:sz w:val="24"/>
          <w:szCs w:val="24"/>
        </w:rPr>
        <w:t>to buyout applicants provides the actual value of the property; thus, the seller is not considered a beneficiary of CDBG– DR assistance. Regardless of purchase price, all buyout activities are a type of acquisition of real property (as permitted by</w:t>
      </w:r>
      <w:r w:rsidR="00E56875">
        <w:rPr>
          <w:rFonts w:ascii="Calibri" w:hAnsi="Calibri"/>
          <w:sz w:val="24"/>
          <w:szCs w:val="24"/>
        </w:rPr>
        <w:t xml:space="preserve"> the HCDA at</w:t>
      </w:r>
      <w:r w:rsidRPr="00355B96">
        <w:rPr>
          <w:rFonts w:ascii="Calibri" w:hAnsi="Calibri"/>
          <w:sz w:val="24"/>
          <w:szCs w:val="24"/>
        </w:rPr>
        <w:t xml:space="preserve"> 42 U.S.C. 5305(a)(1)). However, only acquisitions that meet the definition of a ‘‘buyout’’ are subject to the post-acquisition land use restrictions imposed by the applicable prior notices. </w:t>
      </w:r>
    </w:p>
    <w:p w14:paraId="232EC774" w14:textId="54A663C3" w:rsidR="004529B2" w:rsidRDefault="004529B2" w:rsidP="000307CA">
      <w:pPr>
        <w:spacing w:after="0" w:line="240" w:lineRule="auto"/>
        <w:rPr>
          <w:rFonts w:ascii="Calibri" w:hAnsi="Calibri"/>
          <w:sz w:val="24"/>
          <w:szCs w:val="24"/>
        </w:rPr>
      </w:pPr>
    </w:p>
    <w:p w14:paraId="653A6E56" w14:textId="34A2AD43" w:rsidR="004529B2" w:rsidRPr="004529B2" w:rsidRDefault="004529B2" w:rsidP="004529B2">
      <w:pPr>
        <w:pStyle w:val="Title"/>
        <w:spacing w:after="0"/>
        <w:outlineLvl w:val="0"/>
        <w:rPr>
          <w:rStyle w:val="IntenseReference"/>
          <w:rFonts w:ascii="Calibri" w:hAnsi="Calibri" w:cs="Calibri"/>
          <w:b w:val="0"/>
          <w:bCs w:val="0"/>
          <w:color w:val="0070C0"/>
          <w:sz w:val="36"/>
          <w:szCs w:val="36"/>
        </w:rPr>
      </w:pPr>
      <w:bookmarkStart w:id="30" w:name="_Toc22628984"/>
      <w:r>
        <w:rPr>
          <w:rStyle w:val="IntenseReference"/>
          <w:rFonts w:ascii="Calibri" w:hAnsi="Calibri" w:cs="Calibri"/>
          <w:b w:val="0"/>
          <w:bCs w:val="0"/>
          <w:color w:val="0070C0"/>
          <w:sz w:val="36"/>
          <w:szCs w:val="36"/>
        </w:rPr>
        <w:t>Buyout Incentives</w:t>
      </w:r>
      <w:bookmarkEnd w:id="30"/>
    </w:p>
    <w:p w14:paraId="5C4AF6F9" w14:textId="01F96A67" w:rsidR="004529B2" w:rsidRDefault="00C6196F" w:rsidP="004529B2">
      <w:r>
        <w:rPr>
          <w:rFonts w:ascii="Calibri" w:hAnsi="Calibri" w:cs="Calibri"/>
          <w:color w:val="000000"/>
          <w:sz w:val="24"/>
          <w:szCs w:val="24"/>
        </w:rPr>
        <w:t xml:space="preserve">As HCDD is working with commercial buyers utilizing post- disaster FMV, </w:t>
      </w:r>
      <w:r w:rsidRPr="00355B96">
        <w:rPr>
          <w:rFonts w:ascii="Calibri" w:hAnsi="Calibri"/>
          <w:sz w:val="24"/>
          <w:szCs w:val="24"/>
        </w:rPr>
        <w:t>the seller is not considered a ben</w:t>
      </w:r>
      <w:r>
        <w:rPr>
          <w:rFonts w:ascii="Calibri" w:hAnsi="Calibri"/>
          <w:sz w:val="24"/>
          <w:szCs w:val="24"/>
        </w:rPr>
        <w:t xml:space="preserve">eficiary of CDBG– DR assistance thus HCDD will not have any buyout incentives within this program. </w:t>
      </w:r>
    </w:p>
    <w:p w14:paraId="06141CE6" w14:textId="0A6B6C4B" w:rsidR="006B0B3E" w:rsidRPr="00C97D84" w:rsidRDefault="006B0B3E" w:rsidP="000307CA">
      <w:pPr>
        <w:widowControl w:val="0"/>
        <w:spacing w:after="0" w:line="240" w:lineRule="auto"/>
        <w:rPr>
          <w:rFonts w:ascii="Calibri" w:hAnsi="Calibri" w:cs="Calibri"/>
          <w:color w:val="000000"/>
          <w:sz w:val="24"/>
          <w:szCs w:val="24"/>
        </w:rPr>
      </w:pPr>
    </w:p>
    <w:p w14:paraId="7DC8B82E" w14:textId="14A98E21" w:rsidR="00A94AAB" w:rsidRPr="00C97D84" w:rsidRDefault="00A94AAB" w:rsidP="000307CA">
      <w:pPr>
        <w:pStyle w:val="Title"/>
        <w:spacing w:after="0"/>
        <w:outlineLvl w:val="0"/>
        <w:rPr>
          <w:rStyle w:val="IntenseReference"/>
          <w:rFonts w:ascii="Calibri" w:hAnsi="Calibri" w:cs="Calibri"/>
          <w:b w:val="0"/>
          <w:bCs w:val="0"/>
          <w:color w:val="0070C0"/>
          <w:sz w:val="36"/>
          <w:szCs w:val="36"/>
        </w:rPr>
      </w:pPr>
      <w:bookmarkStart w:id="31" w:name="_Toc8137183"/>
      <w:bookmarkStart w:id="32" w:name="_Toc22628985"/>
      <w:r w:rsidRPr="00C97D84">
        <w:rPr>
          <w:rStyle w:val="IntenseReference"/>
          <w:rFonts w:ascii="Calibri" w:hAnsi="Calibri" w:cs="Calibri"/>
          <w:b w:val="0"/>
          <w:bCs w:val="0"/>
          <w:color w:val="0070C0"/>
          <w:sz w:val="36"/>
          <w:szCs w:val="36"/>
        </w:rPr>
        <w:t>Community Engagement/</w:t>
      </w:r>
      <w:r w:rsidR="00407374">
        <w:rPr>
          <w:rStyle w:val="IntenseReference"/>
          <w:rFonts w:ascii="Calibri" w:hAnsi="Calibri" w:cs="Calibri"/>
          <w:b w:val="0"/>
          <w:bCs w:val="0"/>
          <w:color w:val="0070C0"/>
          <w:sz w:val="36"/>
          <w:szCs w:val="36"/>
        </w:rPr>
        <w:t>Affirmative Marketing/</w:t>
      </w:r>
      <w:r w:rsidRPr="00C97D84">
        <w:rPr>
          <w:rStyle w:val="IntenseReference"/>
          <w:rFonts w:ascii="Calibri" w:hAnsi="Calibri" w:cs="Calibri"/>
          <w:b w:val="0"/>
          <w:bCs w:val="0"/>
          <w:color w:val="0070C0"/>
          <w:sz w:val="36"/>
          <w:szCs w:val="36"/>
        </w:rPr>
        <w:t>Outreach Plan</w:t>
      </w:r>
      <w:bookmarkEnd w:id="31"/>
      <w:bookmarkEnd w:id="32"/>
    </w:p>
    <w:p w14:paraId="184EBA38" w14:textId="4DFE180D" w:rsidR="00A94AAB" w:rsidRPr="00C97D84" w:rsidRDefault="00A94AAB" w:rsidP="000307CA">
      <w:pPr>
        <w:spacing w:after="0" w:line="240" w:lineRule="auto"/>
        <w:rPr>
          <w:rFonts w:ascii="Calibri" w:hAnsi="Calibri" w:cs="Calibri"/>
          <w:sz w:val="24"/>
          <w:szCs w:val="24"/>
        </w:rPr>
      </w:pPr>
      <w:r w:rsidRPr="00C97D84">
        <w:rPr>
          <w:rFonts w:ascii="Calibri" w:hAnsi="Calibri" w:cs="Calibri"/>
          <w:sz w:val="24"/>
          <w:szCs w:val="24"/>
        </w:rPr>
        <w:t>The City of Houston engaged in a robust community engagement strategy to inform Houstonians on the status of the local government’s efforts to secure funding for its long-term recovery</w:t>
      </w:r>
      <w:r w:rsidR="00917AE4">
        <w:rPr>
          <w:rFonts w:ascii="Calibri" w:hAnsi="Calibri" w:cs="Calibri"/>
          <w:sz w:val="24"/>
          <w:szCs w:val="24"/>
        </w:rPr>
        <w:t xml:space="preserve"> related to </w:t>
      </w:r>
      <w:r w:rsidR="005441C1">
        <w:rPr>
          <w:rFonts w:ascii="Calibri" w:hAnsi="Calibri" w:cs="Calibri"/>
          <w:sz w:val="24"/>
          <w:szCs w:val="24"/>
        </w:rPr>
        <w:t>the 2016 Flood</w:t>
      </w:r>
      <w:r w:rsidR="00917AE4">
        <w:rPr>
          <w:rFonts w:ascii="Calibri" w:hAnsi="Calibri" w:cs="Calibri"/>
          <w:sz w:val="24"/>
          <w:szCs w:val="24"/>
        </w:rPr>
        <w:t>s</w:t>
      </w:r>
      <w:r w:rsidR="005441C1">
        <w:rPr>
          <w:rFonts w:ascii="Calibri" w:hAnsi="Calibri" w:cs="Calibri"/>
          <w:sz w:val="24"/>
          <w:szCs w:val="24"/>
        </w:rPr>
        <w:t>.</w:t>
      </w:r>
      <w:r w:rsidRPr="00C97D84">
        <w:rPr>
          <w:rFonts w:ascii="Calibri" w:hAnsi="Calibri" w:cs="Calibri"/>
          <w:sz w:val="24"/>
          <w:szCs w:val="24"/>
        </w:rPr>
        <w:t xml:space="preserve"> </w:t>
      </w:r>
      <w:r w:rsidR="00407374" w:rsidRPr="00C97D84">
        <w:rPr>
          <w:rFonts w:ascii="Calibri" w:hAnsi="Calibri" w:cs="Calibri"/>
          <w:sz w:val="24"/>
          <w:szCs w:val="24"/>
        </w:rPr>
        <w:t>The City, through HCDD, is committed to affirmatively furthering fair housing through established affirmative marketing policies.</w:t>
      </w:r>
      <w:r w:rsidR="00407374">
        <w:rPr>
          <w:rFonts w:ascii="Calibri" w:hAnsi="Calibri" w:cs="Calibri"/>
          <w:sz w:val="24"/>
          <w:szCs w:val="24"/>
        </w:rPr>
        <w:t xml:space="preserve"> </w:t>
      </w:r>
      <w:r w:rsidR="00407374" w:rsidRPr="00C97D84">
        <w:rPr>
          <w:rFonts w:ascii="Calibri" w:hAnsi="Calibri" w:cs="Calibri"/>
          <w:sz w:val="24"/>
          <w:szCs w:val="24"/>
        </w:rPr>
        <w:t xml:space="preserve">Affirmative marketing efforts will include the development of an Affirmative Marketing &amp; Outreach Plan based on U.S. Department of Housing and Urban Development </w:t>
      </w:r>
      <w:r w:rsidR="00E56875">
        <w:rPr>
          <w:rFonts w:ascii="Calibri" w:hAnsi="Calibri" w:cs="Calibri"/>
          <w:sz w:val="24"/>
          <w:szCs w:val="24"/>
        </w:rPr>
        <w:t>(“</w:t>
      </w:r>
      <w:r w:rsidR="00407374" w:rsidRPr="00C97D84">
        <w:rPr>
          <w:rFonts w:ascii="Calibri" w:hAnsi="Calibri" w:cs="Calibri"/>
          <w:sz w:val="24"/>
          <w:szCs w:val="24"/>
        </w:rPr>
        <w:t>HUD</w:t>
      </w:r>
      <w:r w:rsidR="00A22500">
        <w:rPr>
          <w:rFonts w:ascii="Calibri" w:hAnsi="Calibri" w:cs="Calibri"/>
          <w:sz w:val="24"/>
          <w:szCs w:val="24"/>
        </w:rPr>
        <w:t>”</w:t>
      </w:r>
      <w:r w:rsidR="00407374" w:rsidRPr="00C97D84">
        <w:rPr>
          <w:rFonts w:ascii="Calibri" w:hAnsi="Calibri" w:cs="Calibri"/>
          <w:sz w:val="24"/>
          <w:szCs w:val="24"/>
        </w:rPr>
        <w:t>) regulations to ensure that units financed through the Program are affirmatively marketed to the public at large.</w:t>
      </w:r>
      <w:r w:rsidR="00407374">
        <w:rPr>
          <w:rFonts w:ascii="Calibri" w:hAnsi="Calibri" w:cs="Calibri"/>
          <w:sz w:val="24"/>
          <w:szCs w:val="24"/>
        </w:rPr>
        <w:t xml:space="preserve"> </w:t>
      </w:r>
      <w:r w:rsidR="00407374" w:rsidRPr="00C97D84">
        <w:rPr>
          <w:rFonts w:ascii="Calibri" w:hAnsi="Calibri" w:cs="Calibri"/>
          <w:sz w:val="24"/>
          <w:szCs w:val="24"/>
        </w:rPr>
        <w:t>The Affirmative Marketing &amp; Outreach Plan will give detailed information about how the City of Houston plans for effective outreach to all groups of homeowners, landlords, and renters mentioned above, as well as how the process for programs will be suitable for persons with limited English proficiency, persons with disabilities and those with special needs.</w:t>
      </w:r>
      <w:r w:rsidR="00407374">
        <w:rPr>
          <w:rFonts w:ascii="Calibri" w:hAnsi="Calibri" w:cs="Calibri"/>
          <w:sz w:val="24"/>
          <w:szCs w:val="24"/>
        </w:rPr>
        <w:t xml:space="preserve"> </w:t>
      </w:r>
      <w:r w:rsidR="00407374" w:rsidRPr="00C97D84">
        <w:rPr>
          <w:rFonts w:ascii="Calibri" w:hAnsi="Calibri" w:cs="Calibri"/>
          <w:sz w:val="24"/>
          <w:szCs w:val="24"/>
        </w:rPr>
        <w:t>For each program offered by the City, notification to these populations will include:</w:t>
      </w:r>
      <w:r w:rsidR="00407374">
        <w:rPr>
          <w:rFonts w:ascii="Calibri" w:hAnsi="Calibri" w:cs="Calibri"/>
          <w:sz w:val="24"/>
          <w:szCs w:val="24"/>
        </w:rPr>
        <w:t xml:space="preserve"> </w:t>
      </w:r>
      <w:r w:rsidR="00407374" w:rsidRPr="00C97D84">
        <w:rPr>
          <w:rFonts w:ascii="Calibri" w:hAnsi="Calibri" w:cs="Calibri"/>
          <w:sz w:val="24"/>
          <w:szCs w:val="24"/>
        </w:rPr>
        <w:t>information on vacant units available for sale and/or rent; information on</w:t>
      </w:r>
      <w:r w:rsidR="00407374">
        <w:rPr>
          <w:rFonts w:ascii="Calibri" w:hAnsi="Calibri" w:cs="Calibri"/>
          <w:sz w:val="24"/>
          <w:szCs w:val="24"/>
        </w:rPr>
        <w:t xml:space="preserve"> how to apply for unit purchase, and</w:t>
      </w:r>
      <w:r w:rsidR="00407374" w:rsidRPr="00C97D84">
        <w:rPr>
          <w:rFonts w:ascii="Calibri" w:hAnsi="Calibri" w:cs="Calibri"/>
          <w:sz w:val="24"/>
          <w:szCs w:val="24"/>
        </w:rPr>
        <w:t xml:space="preserve"> opportunities to buy and/or rent the unit of their choice.</w:t>
      </w:r>
    </w:p>
    <w:p w14:paraId="1F4AB36A" w14:textId="77777777" w:rsidR="00A94AAB" w:rsidRPr="00C97D84" w:rsidRDefault="00A94AAB" w:rsidP="000307CA">
      <w:pPr>
        <w:spacing w:after="0" w:line="240" w:lineRule="auto"/>
        <w:rPr>
          <w:rFonts w:ascii="Calibri" w:hAnsi="Calibri" w:cs="Calibri"/>
          <w:sz w:val="24"/>
          <w:szCs w:val="24"/>
        </w:rPr>
      </w:pPr>
    </w:p>
    <w:p w14:paraId="02D24716" w14:textId="4A73D409" w:rsidR="0088575B" w:rsidRPr="00C97D84" w:rsidRDefault="00A94AAB" w:rsidP="000307CA">
      <w:pPr>
        <w:spacing w:after="0" w:line="240" w:lineRule="auto"/>
        <w:rPr>
          <w:rFonts w:ascii="Calibri" w:hAnsi="Calibri" w:cs="Calibri"/>
          <w:sz w:val="24"/>
          <w:szCs w:val="24"/>
        </w:rPr>
      </w:pPr>
      <w:r w:rsidRPr="00C97D84">
        <w:rPr>
          <w:rFonts w:ascii="Calibri" w:hAnsi="Calibri" w:cs="Calibri"/>
          <w:sz w:val="24"/>
          <w:szCs w:val="24"/>
        </w:rPr>
        <w:t>Particular emphasis will be focused on successful outreach to LMI areas and those communities with minority concentrations that were affected by the storm.</w:t>
      </w:r>
      <w:r>
        <w:rPr>
          <w:rFonts w:ascii="Calibri" w:hAnsi="Calibri" w:cs="Calibri"/>
          <w:sz w:val="24"/>
          <w:szCs w:val="24"/>
        </w:rPr>
        <w:t xml:space="preserve"> </w:t>
      </w:r>
      <w:r w:rsidR="0088575B" w:rsidRPr="00C97D84">
        <w:rPr>
          <w:rFonts w:ascii="Calibri" w:hAnsi="Calibri" w:cs="Calibri"/>
          <w:sz w:val="24"/>
          <w:szCs w:val="24"/>
        </w:rPr>
        <w:t>In</w:t>
      </w:r>
      <w:r w:rsidR="0088575B" w:rsidRPr="00C97D84">
        <w:rPr>
          <w:rFonts w:ascii="Calibri" w:hAnsi="Calibri" w:cs="Calibri"/>
          <w:spacing w:val="15"/>
          <w:sz w:val="24"/>
          <w:szCs w:val="24"/>
        </w:rPr>
        <w:t xml:space="preserve"> </w:t>
      </w:r>
      <w:r w:rsidR="0088575B" w:rsidRPr="00C97D84">
        <w:rPr>
          <w:rFonts w:ascii="Calibri" w:hAnsi="Calibri" w:cs="Calibri"/>
          <w:sz w:val="24"/>
          <w:szCs w:val="24"/>
        </w:rPr>
        <w:t>addition</w:t>
      </w:r>
      <w:r w:rsidR="0088575B" w:rsidRPr="00C97D84">
        <w:rPr>
          <w:rFonts w:ascii="Calibri" w:hAnsi="Calibri" w:cs="Calibri"/>
          <w:spacing w:val="15"/>
          <w:sz w:val="24"/>
          <w:szCs w:val="24"/>
        </w:rPr>
        <w:t xml:space="preserve"> </w:t>
      </w:r>
      <w:r w:rsidR="0088575B" w:rsidRPr="00C97D84">
        <w:rPr>
          <w:rFonts w:ascii="Calibri" w:hAnsi="Calibri" w:cs="Calibri"/>
          <w:sz w:val="24"/>
          <w:szCs w:val="24"/>
        </w:rPr>
        <w:t>to</w:t>
      </w:r>
      <w:r w:rsidR="0088575B" w:rsidRPr="00C97D84">
        <w:rPr>
          <w:rFonts w:ascii="Calibri" w:hAnsi="Calibri" w:cs="Calibri"/>
          <w:spacing w:val="17"/>
          <w:sz w:val="24"/>
          <w:szCs w:val="24"/>
        </w:rPr>
        <w:t xml:space="preserve"> </w:t>
      </w:r>
      <w:r w:rsidR="0088575B" w:rsidRPr="00C97D84">
        <w:rPr>
          <w:rFonts w:ascii="Calibri" w:hAnsi="Calibri" w:cs="Calibri"/>
          <w:sz w:val="24"/>
          <w:szCs w:val="24"/>
        </w:rPr>
        <w:t>marketing</w:t>
      </w:r>
      <w:r w:rsidR="0088575B" w:rsidRPr="00C97D84">
        <w:rPr>
          <w:rFonts w:ascii="Calibri" w:hAnsi="Calibri" w:cs="Calibri"/>
          <w:spacing w:val="14"/>
          <w:sz w:val="24"/>
          <w:szCs w:val="24"/>
        </w:rPr>
        <w:t xml:space="preserve"> </w:t>
      </w:r>
      <w:r w:rsidR="0088575B" w:rsidRPr="00C97D84">
        <w:rPr>
          <w:rFonts w:ascii="Calibri" w:hAnsi="Calibri" w:cs="Calibri"/>
          <w:sz w:val="24"/>
          <w:szCs w:val="24"/>
        </w:rPr>
        <w:t>through</w:t>
      </w:r>
      <w:r w:rsidR="0088575B" w:rsidRPr="00C97D84">
        <w:rPr>
          <w:rFonts w:ascii="Calibri" w:hAnsi="Calibri" w:cs="Calibri"/>
          <w:spacing w:val="15"/>
          <w:sz w:val="24"/>
          <w:szCs w:val="24"/>
        </w:rPr>
        <w:t xml:space="preserve"> </w:t>
      </w:r>
      <w:r w:rsidR="0088575B" w:rsidRPr="00C97D84">
        <w:rPr>
          <w:rFonts w:ascii="Calibri" w:hAnsi="Calibri" w:cs="Calibri"/>
          <w:sz w:val="24"/>
          <w:szCs w:val="24"/>
        </w:rPr>
        <w:t>widely</w:t>
      </w:r>
      <w:r w:rsidR="0088575B" w:rsidRPr="00C97D84">
        <w:rPr>
          <w:rFonts w:ascii="Calibri" w:hAnsi="Calibri" w:cs="Calibri"/>
          <w:spacing w:val="15"/>
          <w:sz w:val="24"/>
          <w:szCs w:val="24"/>
        </w:rPr>
        <w:t xml:space="preserve"> </w:t>
      </w:r>
      <w:r w:rsidR="0088575B" w:rsidRPr="00C97D84">
        <w:rPr>
          <w:rFonts w:ascii="Calibri" w:hAnsi="Calibri" w:cs="Calibri"/>
          <w:sz w:val="24"/>
          <w:szCs w:val="24"/>
        </w:rPr>
        <w:t>available</w:t>
      </w:r>
      <w:r w:rsidR="0088575B" w:rsidRPr="00C97D84">
        <w:rPr>
          <w:rFonts w:ascii="Calibri" w:hAnsi="Calibri" w:cs="Calibri"/>
          <w:spacing w:val="15"/>
          <w:sz w:val="24"/>
          <w:szCs w:val="24"/>
        </w:rPr>
        <w:t xml:space="preserve"> </w:t>
      </w:r>
      <w:r w:rsidR="0088575B" w:rsidRPr="00C97D84">
        <w:rPr>
          <w:rFonts w:ascii="Calibri" w:hAnsi="Calibri" w:cs="Calibri"/>
          <w:sz w:val="24"/>
          <w:szCs w:val="24"/>
        </w:rPr>
        <w:t>media</w:t>
      </w:r>
      <w:r w:rsidR="0088575B" w:rsidRPr="00C97D84">
        <w:rPr>
          <w:rFonts w:ascii="Calibri" w:hAnsi="Calibri" w:cs="Calibri"/>
          <w:spacing w:val="15"/>
          <w:sz w:val="24"/>
          <w:szCs w:val="24"/>
        </w:rPr>
        <w:t xml:space="preserve"> </w:t>
      </w:r>
      <w:r w:rsidR="0088575B" w:rsidRPr="00C97D84">
        <w:rPr>
          <w:rFonts w:ascii="Calibri" w:hAnsi="Calibri" w:cs="Calibri"/>
          <w:sz w:val="24"/>
          <w:szCs w:val="24"/>
        </w:rPr>
        <w:t>outlets,</w:t>
      </w:r>
      <w:r w:rsidR="0088575B" w:rsidRPr="00C97D84">
        <w:rPr>
          <w:rFonts w:ascii="Calibri" w:hAnsi="Calibri" w:cs="Calibri"/>
          <w:spacing w:val="16"/>
          <w:sz w:val="24"/>
          <w:szCs w:val="24"/>
        </w:rPr>
        <w:t xml:space="preserve"> </w:t>
      </w:r>
      <w:r w:rsidR="0088575B" w:rsidRPr="00C97D84">
        <w:rPr>
          <w:rFonts w:ascii="Calibri" w:hAnsi="Calibri" w:cs="Calibri"/>
          <w:sz w:val="24"/>
          <w:szCs w:val="24"/>
        </w:rPr>
        <w:t>efforts</w:t>
      </w:r>
      <w:r w:rsidR="0088575B" w:rsidRPr="00C97D84">
        <w:rPr>
          <w:rFonts w:ascii="Calibri" w:hAnsi="Calibri" w:cs="Calibri"/>
          <w:spacing w:val="15"/>
          <w:sz w:val="24"/>
          <w:szCs w:val="24"/>
        </w:rPr>
        <w:t xml:space="preserve"> </w:t>
      </w:r>
      <w:r w:rsidR="0088575B" w:rsidRPr="00C97D84">
        <w:rPr>
          <w:rFonts w:ascii="Calibri" w:hAnsi="Calibri" w:cs="Calibri"/>
          <w:sz w:val="24"/>
          <w:szCs w:val="24"/>
        </w:rPr>
        <w:t>may</w:t>
      </w:r>
      <w:r w:rsidR="0088575B" w:rsidRPr="00C97D84">
        <w:rPr>
          <w:rFonts w:ascii="Calibri" w:hAnsi="Calibri" w:cs="Calibri"/>
          <w:spacing w:val="16"/>
          <w:sz w:val="24"/>
          <w:szCs w:val="24"/>
        </w:rPr>
        <w:t xml:space="preserve"> </w:t>
      </w:r>
      <w:r w:rsidR="0088575B" w:rsidRPr="00C97D84">
        <w:rPr>
          <w:rFonts w:ascii="Calibri" w:hAnsi="Calibri" w:cs="Calibri"/>
          <w:sz w:val="24"/>
          <w:szCs w:val="24"/>
        </w:rPr>
        <w:t>be</w:t>
      </w:r>
      <w:r w:rsidR="0088575B" w:rsidRPr="00C97D84">
        <w:rPr>
          <w:rFonts w:ascii="Calibri" w:hAnsi="Calibri" w:cs="Calibri"/>
          <w:spacing w:val="15"/>
          <w:sz w:val="24"/>
          <w:szCs w:val="24"/>
        </w:rPr>
        <w:t xml:space="preserve"> </w:t>
      </w:r>
      <w:r w:rsidR="0088575B" w:rsidRPr="00C97D84">
        <w:rPr>
          <w:rFonts w:ascii="Calibri" w:hAnsi="Calibri" w:cs="Calibri"/>
          <w:sz w:val="24"/>
          <w:szCs w:val="24"/>
        </w:rPr>
        <w:t>taken</w:t>
      </w:r>
      <w:r w:rsidR="0088575B" w:rsidRPr="00C97D84">
        <w:rPr>
          <w:rFonts w:ascii="Calibri" w:hAnsi="Calibri" w:cs="Calibri"/>
          <w:spacing w:val="15"/>
          <w:sz w:val="24"/>
          <w:szCs w:val="24"/>
        </w:rPr>
        <w:t xml:space="preserve"> </w:t>
      </w:r>
      <w:r w:rsidR="0088575B" w:rsidRPr="00C97D84">
        <w:rPr>
          <w:rFonts w:ascii="Calibri" w:hAnsi="Calibri" w:cs="Calibri"/>
          <w:sz w:val="24"/>
          <w:szCs w:val="24"/>
        </w:rPr>
        <w:t>to</w:t>
      </w:r>
      <w:r w:rsidR="0088575B" w:rsidRPr="00C97D84">
        <w:rPr>
          <w:rFonts w:ascii="Calibri" w:hAnsi="Calibri" w:cs="Calibri"/>
          <w:spacing w:val="45"/>
          <w:sz w:val="24"/>
          <w:szCs w:val="24"/>
        </w:rPr>
        <w:t xml:space="preserve"> </w:t>
      </w:r>
      <w:r w:rsidR="0088575B" w:rsidRPr="00C97D84">
        <w:rPr>
          <w:rFonts w:ascii="Calibri" w:hAnsi="Calibri" w:cs="Calibri"/>
          <w:sz w:val="24"/>
          <w:szCs w:val="24"/>
        </w:rPr>
        <w:t>affirmatively market the</w:t>
      </w:r>
      <w:r w:rsidR="00E56875">
        <w:rPr>
          <w:rFonts w:ascii="Calibri" w:hAnsi="Calibri" w:cs="Calibri"/>
          <w:sz w:val="24"/>
          <w:szCs w:val="24"/>
        </w:rPr>
        <w:t xml:space="preserve"> City’s</w:t>
      </w:r>
      <w:r w:rsidR="0088575B" w:rsidRPr="00C97D84">
        <w:rPr>
          <w:rFonts w:ascii="Calibri" w:hAnsi="Calibri" w:cs="Calibri"/>
          <w:spacing w:val="-4"/>
          <w:sz w:val="24"/>
          <w:szCs w:val="24"/>
        </w:rPr>
        <w:t xml:space="preserve"> </w:t>
      </w:r>
      <w:r w:rsidR="0088575B" w:rsidRPr="00C97D84">
        <w:rPr>
          <w:rFonts w:ascii="Calibri" w:hAnsi="Calibri" w:cs="Calibri"/>
          <w:sz w:val="24"/>
          <w:szCs w:val="24"/>
        </w:rPr>
        <w:t xml:space="preserve">CDBG-DR </w:t>
      </w:r>
      <w:r w:rsidR="00E56875">
        <w:rPr>
          <w:rFonts w:ascii="Calibri" w:hAnsi="Calibri" w:cs="Calibri"/>
          <w:sz w:val="24"/>
          <w:szCs w:val="24"/>
        </w:rPr>
        <w:t>p</w:t>
      </w:r>
      <w:r w:rsidR="0088575B" w:rsidRPr="00C97D84">
        <w:rPr>
          <w:rFonts w:ascii="Calibri" w:hAnsi="Calibri" w:cs="Calibri"/>
          <w:sz w:val="24"/>
          <w:szCs w:val="24"/>
        </w:rPr>
        <w:t>rogram as follows:</w:t>
      </w:r>
    </w:p>
    <w:p w14:paraId="57FDC718" w14:textId="2E8BD155" w:rsidR="0088575B" w:rsidRPr="00C97D84" w:rsidRDefault="0088575B" w:rsidP="00E14863">
      <w:pPr>
        <w:pStyle w:val="ListParagraph"/>
        <w:numPr>
          <w:ilvl w:val="0"/>
          <w:numId w:val="3"/>
        </w:numPr>
        <w:spacing w:after="0" w:line="240" w:lineRule="auto"/>
        <w:rPr>
          <w:rFonts w:ascii="Calibri" w:hAnsi="Calibri" w:cs="Calibri"/>
          <w:sz w:val="24"/>
          <w:szCs w:val="24"/>
        </w:rPr>
      </w:pPr>
      <w:r w:rsidRPr="00C97D84">
        <w:rPr>
          <w:rFonts w:ascii="Calibri" w:hAnsi="Calibri" w:cs="Calibri"/>
          <w:sz w:val="24"/>
          <w:szCs w:val="24"/>
        </w:rPr>
        <w:t>Advertise</w:t>
      </w:r>
      <w:r w:rsidRPr="00C97D84">
        <w:rPr>
          <w:rFonts w:ascii="Calibri" w:hAnsi="Calibri" w:cs="Calibri"/>
          <w:spacing w:val="34"/>
          <w:sz w:val="24"/>
          <w:szCs w:val="24"/>
        </w:rPr>
        <w:t xml:space="preserve"> </w:t>
      </w:r>
      <w:r w:rsidRPr="00C97D84">
        <w:rPr>
          <w:rFonts w:ascii="Calibri" w:hAnsi="Calibri" w:cs="Calibri"/>
          <w:sz w:val="24"/>
          <w:szCs w:val="24"/>
        </w:rPr>
        <w:t>with</w:t>
      </w:r>
      <w:r w:rsidRPr="00C97D84">
        <w:rPr>
          <w:rFonts w:ascii="Calibri" w:hAnsi="Calibri" w:cs="Calibri"/>
          <w:spacing w:val="36"/>
          <w:sz w:val="24"/>
          <w:szCs w:val="24"/>
        </w:rPr>
        <w:t xml:space="preserve"> </w:t>
      </w:r>
      <w:r w:rsidRPr="00C97D84">
        <w:rPr>
          <w:rFonts w:ascii="Calibri" w:hAnsi="Calibri" w:cs="Calibri"/>
          <w:sz w:val="24"/>
          <w:szCs w:val="24"/>
        </w:rPr>
        <w:t>the</w:t>
      </w:r>
      <w:r w:rsidRPr="00C97D84">
        <w:rPr>
          <w:rFonts w:ascii="Calibri" w:hAnsi="Calibri" w:cs="Calibri"/>
          <w:spacing w:val="34"/>
          <w:sz w:val="24"/>
          <w:szCs w:val="24"/>
        </w:rPr>
        <w:t xml:space="preserve"> </w:t>
      </w:r>
      <w:r w:rsidRPr="00C97D84">
        <w:rPr>
          <w:rFonts w:ascii="Calibri" w:hAnsi="Calibri" w:cs="Calibri"/>
          <w:sz w:val="24"/>
          <w:szCs w:val="24"/>
        </w:rPr>
        <w:t>local</w:t>
      </w:r>
      <w:r w:rsidRPr="00C97D84">
        <w:rPr>
          <w:rFonts w:ascii="Calibri" w:hAnsi="Calibri" w:cs="Calibri"/>
          <w:spacing w:val="32"/>
          <w:sz w:val="24"/>
          <w:szCs w:val="24"/>
        </w:rPr>
        <w:t xml:space="preserve"> </w:t>
      </w:r>
      <w:r w:rsidRPr="00C97D84">
        <w:rPr>
          <w:rFonts w:ascii="Calibri" w:hAnsi="Calibri" w:cs="Calibri"/>
          <w:sz w:val="24"/>
          <w:szCs w:val="24"/>
        </w:rPr>
        <w:t>media</w:t>
      </w:r>
      <w:r w:rsidRPr="00C97D84">
        <w:rPr>
          <w:rFonts w:ascii="Calibri" w:hAnsi="Calibri" w:cs="Calibri"/>
          <w:spacing w:val="34"/>
          <w:sz w:val="24"/>
          <w:szCs w:val="24"/>
        </w:rPr>
        <w:t xml:space="preserve"> </w:t>
      </w:r>
      <w:r w:rsidRPr="00C97D84">
        <w:rPr>
          <w:rFonts w:ascii="Calibri" w:hAnsi="Calibri" w:cs="Calibri"/>
          <w:sz w:val="24"/>
          <w:szCs w:val="24"/>
        </w:rPr>
        <w:t>outlets,</w:t>
      </w:r>
      <w:r w:rsidRPr="00C97D84">
        <w:rPr>
          <w:rFonts w:ascii="Calibri" w:hAnsi="Calibri" w:cs="Calibri"/>
          <w:spacing w:val="36"/>
          <w:sz w:val="24"/>
          <w:szCs w:val="24"/>
        </w:rPr>
        <w:t xml:space="preserve"> </w:t>
      </w:r>
      <w:r w:rsidRPr="00C97D84">
        <w:rPr>
          <w:rFonts w:ascii="Calibri" w:hAnsi="Calibri" w:cs="Calibri"/>
          <w:sz w:val="24"/>
          <w:szCs w:val="24"/>
        </w:rPr>
        <w:t>including</w:t>
      </w:r>
      <w:r w:rsidRPr="00C97D84">
        <w:rPr>
          <w:rFonts w:ascii="Calibri" w:hAnsi="Calibri" w:cs="Calibri"/>
          <w:spacing w:val="36"/>
          <w:sz w:val="24"/>
          <w:szCs w:val="24"/>
        </w:rPr>
        <w:t xml:space="preserve"> </w:t>
      </w:r>
      <w:r w:rsidRPr="00C97D84">
        <w:rPr>
          <w:rFonts w:ascii="Calibri" w:hAnsi="Calibri" w:cs="Calibri"/>
          <w:sz w:val="24"/>
          <w:szCs w:val="24"/>
        </w:rPr>
        <w:t>newspapers</w:t>
      </w:r>
      <w:r w:rsidRPr="00C97D84">
        <w:rPr>
          <w:rFonts w:ascii="Calibri" w:hAnsi="Calibri" w:cs="Calibri"/>
          <w:spacing w:val="36"/>
          <w:sz w:val="24"/>
          <w:szCs w:val="24"/>
        </w:rPr>
        <w:t xml:space="preserve"> </w:t>
      </w:r>
      <w:r w:rsidRPr="00C97D84">
        <w:rPr>
          <w:rFonts w:ascii="Calibri" w:hAnsi="Calibri" w:cs="Calibri"/>
          <w:sz w:val="24"/>
          <w:szCs w:val="24"/>
        </w:rPr>
        <w:t>and</w:t>
      </w:r>
      <w:r w:rsidRPr="00C97D84">
        <w:rPr>
          <w:rFonts w:ascii="Calibri" w:hAnsi="Calibri" w:cs="Calibri"/>
          <w:spacing w:val="33"/>
          <w:sz w:val="24"/>
          <w:szCs w:val="24"/>
        </w:rPr>
        <w:t xml:space="preserve"> </w:t>
      </w:r>
      <w:r w:rsidRPr="00C97D84">
        <w:rPr>
          <w:rFonts w:ascii="Calibri" w:hAnsi="Calibri" w:cs="Calibri"/>
          <w:sz w:val="24"/>
          <w:szCs w:val="24"/>
        </w:rPr>
        <w:t>broadcast</w:t>
      </w:r>
      <w:r w:rsidRPr="00C97D84">
        <w:rPr>
          <w:rFonts w:ascii="Calibri" w:hAnsi="Calibri" w:cs="Calibri"/>
          <w:spacing w:val="34"/>
          <w:sz w:val="24"/>
          <w:szCs w:val="24"/>
        </w:rPr>
        <w:t xml:space="preserve"> </w:t>
      </w:r>
      <w:r w:rsidRPr="00C97D84">
        <w:rPr>
          <w:rFonts w:ascii="Calibri" w:hAnsi="Calibri" w:cs="Calibri"/>
          <w:sz w:val="24"/>
          <w:szCs w:val="24"/>
        </w:rPr>
        <w:t>media</w:t>
      </w:r>
      <w:r>
        <w:rPr>
          <w:rFonts w:ascii="Calibri" w:hAnsi="Calibri" w:cs="Calibri"/>
          <w:sz w:val="24"/>
          <w:szCs w:val="24"/>
        </w:rPr>
        <w:t>.</w:t>
      </w:r>
    </w:p>
    <w:p w14:paraId="3DCBD517" w14:textId="2EAB8592" w:rsidR="0088575B" w:rsidRPr="00C97D84" w:rsidRDefault="0088575B" w:rsidP="00E14863">
      <w:pPr>
        <w:pStyle w:val="ListParagraph"/>
        <w:numPr>
          <w:ilvl w:val="0"/>
          <w:numId w:val="3"/>
        </w:numPr>
        <w:spacing w:after="0" w:line="240" w:lineRule="auto"/>
        <w:rPr>
          <w:rFonts w:ascii="Calibri" w:hAnsi="Calibri" w:cs="Calibri"/>
          <w:sz w:val="24"/>
          <w:szCs w:val="24"/>
        </w:rPr>
      </w:pPr>
      <w:r w:rsidRPr="00C97D84">
        <w:rPr>
          <w:rFonts w:ascii="Calibri" w:hAnsi="Calibri" w:cs="Calibri"/>
          <w:spacing w:val="-1"/>
          <w:sz w:val="24"/>
          <w:szCs w:val="24"/>
        </w:rPr>
        <w:t>Include</w:t>
      </w:r>
      <w:r w:rsidRPr="00C97D84">
        <w:rPr>
          <w:rFonts w:ascii="Calibri" w:hAnsi="Calibri" w:cs="Calibri"/>
          <w:sz w:val="24"/>
          <w:szCs w:val="24"/>
        </w:rPr>
        <w:t xml:space="preserve"> </w:t>
      </w:r>
      <w:r w:rsidRPr="00C97D84">
        <w:rPr>
          <w:rFonts w:ascii="Calibri" w:hAnsi="Calibri" w:cs="Calibri"/>
          <w:spacing w:val="-1"/>
          <w:sz w:val="24"/>
          <w:szCs w:val="24"/>
        </w:rPr>
        <w:t>flyers</w:t>
      </w:r>
      <w:r w:rsidRPr="00C97D84">
        <w:rPr>
          <w:rFonts w:ascii="Calibri" w:hAnsi="Calibri" w:cs="Calibri"/>
          <w:sz w:val="24"/>
          <w:szCs w:val="24"/>
        </w:rPr>
        <w:t xml:space="preserve"> in </w:t>
      </w:r>
      <w:r w:rsidRPr="00C97D84">
        <w:rPr>
          <w:rFonts w:ascii="Calibri" w:hAnsi="Calibri" w:cs="Calibri"/>
          <w:spacing w:val="-1"/>
          <w:sz w:val="24"/>
          <w:szCs w:val="24"/>
        </w:rPr>
        <w:t>utility and</w:t>
      </w:r>
      <w:r w:rsidRPr="00C97D84">
        <w:rPr>
          <w:rFonts w:ascii="Calibri" w:hAnsi="Calibri" w:cs="Calibri"/>
          <w:sz w:val="24"/>
          <w:szCs w:val="24"/>
        </w:rPr>
        <w:t xml:space="preserve"> </w:t>
      </w:r>
      <w:r w:rsidRPr="00C97D84">
        <w:rPr>
          <w:rFonts w:ascii="Calibri" w:hAnsi="Calibri" w:cs="Calibri"/>
          <w:spacing w:val="-1"/>
          <w:sz w:val="24"/>
          <w:szCs w:val="24"/>
        </w:rPr>
        <w:t>tax</w:t>
      </w:r>
      <w:r w:rsidRPr="00C97D84">
        <w:rPr>
          <w:rFonts w:ascii="Calibri" w:hAnsi="Calibri" w:cs="Calibri"/>
          <w:sz w:val="24"/>
          <w:szCs w:val="24"/>
        </w:rPr>
        <w:t xml:space="preserve"> </w:t>
      </w:r>
      <w:r w:rsidRPr="00C97D84">
        <w:rPr>
          <w:rFonts w:ascii="Calibri" w:hAnsi="Calibri" w:cs="Calibri"/>
          <w:spacing w:val="-1"/>
          <w:sz w:val="24"/>
          <w:szCs w:val="24"/>
        </w:rPr>
        <w:t>bills</w:t>
      </w:r>
      <w:r w:rsidRPr="00C97D84">
        <w:rPr>
          <w:rFonts w:ascii="Calibri" w:hAnsi="Calibri" w:cs="Calibri"/>
          <w:sz w:val="24"/>
          <w:szCs w:val="24"/>
        </w:rPr>
        <w:t xml:space="preserve"> </w:t>
      </w:r>
      <w:r w:rsidRPr="00C97D84">
        <w:rPr>
          <w:rFonts w:ascii="Calibri" w:hAnsi="Calibri" w:cs="Calibri"/>
          <w:spacing w:val="-1"/>
          <w:sz w:val="24"/>
          <w:szCs w:val="24"/>
        </w:rPr>
        <w:t>advertising</w:t>
      </w:r>
      <w:r w:rsidRPr="00C97D84">
        <w:rPr>
          <w:rFonts w:ascii="Calibri" w:hAnsi="Calibri" w:cs="Calibri"/>
          <w:spacing w:val="-3"/>
          <w:sz w:val="24"/>
          <w:szCs w:val="24"/>
        </w:rPr>
        <w:t xml:space="preserve"> </w:t>
      </w:r>
      <w:r w:rsidRPr="00C97D84">
        <w:rPr>
          <w:rFonts w:ascii="Calibri" w:hAnsi="Calibri" w:cs="Calibri"/>
          <w:spacing w:val="-1"/>
          <w:sz w:val="24"/>
          <w:szCs w:val="24"/>
        </w:rPr>
        <w:t>the</w:t>
      </w:r>
      <w:r w:rsidRPr="00C97D84">
        <w:rPr>
          <w:rFonts w:ascii="Calibri" w:hAnsi="Calibri" w:cs="Calibri"/>
          <w:sz w:val="24"/>
          <w:szCs w:val="24"/>
        </w:rPr>
        <w:t xml:space="preserve"> City’s CDBG-DR</w:t>
      </w:r>
      <w:r w:rsidR="00E56875">
        <w:rPr>
          <w:rFonts w:ascii="Calibri" w:hAnsi="Calibri" w:cs="Calibri"/>
          <w:sz w:val="24"/>
          <w:szCs w:val="24"/>
        </w:rPr>
        <w:t>-</w:t>
      </w:r>
      <w:r w:rsidRPr="00C97D84">
        <w:rPr>
          <w:rFonts w:ascii="Calibri" w:hAnsi="Calibri" w:cs="Calibri"/>
          <w:sz w:val="24"/>
          <w:szCs w:val="24"/>
        </w:rPr>
        <w:t>funded</w:t>
      </w:r>
      <w:r w:rsidR="00E56875">
        <w:rPr>
          <w:rFonts w:ascii="Calibri" w:hAnsi="Calibri" w:cs="Calibri"/>
          <w:sz w:val="24"/>
          <w:szCs w:val="24"/>
        </w:rPr>
        <w:t xml:space="preserve"> </w:t>
      </w:r>
      <w:r w:rsidRPr="00C97D84">
        <w:rPr>
          <w:rFonts w:ascii="Calibri" w:hAnsi="Calibri" w:cs="Calibri"/>
          <w:sz w:val="24"/>
          <w:szCs w:val="24"/>
        </w:rPr>
        <w:t xml:space="preserve">recovery </w:t>
      </w:r>
      <w:r w:rsidRPr="00C97D84">
        <w:rPr>
          <w:rFonts w:ascii="Calibri" w:hAnsi="Calibri" w:cs="Calibri"/>
          <w:spacing w:val="-1"/>
          <w:sz w:val="24"/>
          <w:szCs w:val="24"/>
        </w:rPr>
        <w:t>programs.</w:t>
      </w:r>
    </w:p>
    <w:p w14:paraId="4FBA9704" w14:textId="77777777" w:rsidR="0088575B" w:rsidRPr="00C97D84" w:rsidRDefault="0088575B" w:rsidP="00E14863">
      <w:pPr>
        <w:pStyle w:val="ListParagraph"/>
        <w:numPr>
          <w:ilvl w:val="0"/>
          <w:numId w:val="3"/>
        </w:numPr>
        <w:spacing w:after="0" w:line="240" w:lineRule="auto"/>
        <w:rPr>
          <w:rFonts w:ascii="Calibri" w:hAnsi="Calibri" w:cs="Calibri"/>
          <w:sz w:val="24"/>
          <w:szCs w:val="24"/>
        </w:rPr>
      </w:pPr>
      <w:r w:rsidRPr="00C97D84">
        <w:rPr>
          <w:rFonts w:ascii="Calibri" w:hAnsi="Calibri" w:cs="Calibri"/>
          <w:spacing w:val="-1"/>
          <w:sz w:val="24"/>
          <w:szCs w:val="24"/>
        </w:rPr>
        <w:t>Reach</w:t>
      </w:r>
      <w:r w:rsidRPr="00C97D84">
        <w:rPr>
          <w:rFonts w:ascii="Calibri" w:hAnsi="Calibri" w:cs="Calibri"/>
          <w:sz w:val="24"/>
          <w:szCs w:val="24"/>
        </w:rPr>
        <w:t xml:space="preserve"> out</w:t>
      </w:r>
      <w:r w:rsidRPr="00C97D84">
        <w:rPr>
          <w:rFonts w:ascii="Calibri" w:hAnsi="Calibri" w:cs="Calibri"/>
          <w:spacing w:val="-3"/>
          <w:sz w:val="24"/>
          <w:szCs w:val="24"/>
        </w:rPr>
        <w:t xml:space="preserve"> </w:t>
      </w:r>
      <w:r w:rsidRPr="00C97D84">
        <w:rPr>
          <w:rFonts w:ascii="Calibri" w:hAnsi="Calibri" w:cs="Calibri"/>
          <w:sz w:val="24"/>
          <w:szCs w:val="24"/>
        </w:rPr>
        <w:t xml:space="preserve">to </w:t>
      </w:r>
      <w:r w:rsidRPr="00C97D84">
        <w:rPr>
          <w:rFonts w:ascii="Calibri" w:hAnsi="Calibri" w:cs="Calibri"/>
          <w:spacing w:val="-1"/>
          <w:sz w:val="24"/>
          <w:szCs w:val="24"/>
        </w:rPr>
        <w:t>public</w:t>
      </w:r>
      <w:r w:rsidRPr="00C97D84">
        <w:rPr>
          <w:rFonts w:ascii="Calibri" w:hAnsi="Calibri" w:cs="Calibri"/>
          <w:sz w:val="24"/>
          <w:szCs w:val="24"/>
        </w:rPr>
        <w:t xml:space="preserve"> </w:t>
      </w:r>
      <w:r w:rsidRPr="00C97D84">
        <w:rPr>
          <w:rFonts w:ascii="Calibri" w:hAnsi="Calibri" w:cs="Calibri"/>
          <w:spacing w:val="-1"/>
          <w:sz w:val="24"/>
          <w:szCs w:val="24"/>
        </w:rPr>
        <w:t>or</w:t>
      </w:r>
      <w:r w:rsidRPr="00C97D84">
        <w:rPr>
          <w:rFonts w:ascii="Calibri" w:hAnsi="Calibri" w:cs="Calibri"/>
          <w:sz w:val="24"/>
          <w:szCs w:val="24"/>
        </w:rPr>
        <w:t xml:space="preserve"> </w:t>
      </w:r>
      <w:r w:rsidRPr="00C97D84">
        <w:rPr>
          <w:rFonts w:ascii="Calibri" w:hAnsi="Calibri" w:cs="Calibri"/>
          <w:spacing w:val="-1"/>
          <w:sz w:val="24"/>
          <w:szCs w:val="24"/>
        </w:rPr>
        <w:t>non-profit</w:t>
      </w:r>
      <w:r w:rsidRPr="00C97D84">
        <w:rPr>
          <w:rFonts w:ascii="Calibri" w:hAnsi="Calibri" w:cs="Calibri"/>
          <w:sz w:val="24"/>
          <w:szCs w:val="24"/>
        </w:rPr>
        <w:t xml:space="preserve"> </w:t>
      </w:r>
      <w:r w:rsidRPr="00C97D84">
        <w:rPr>
          <w:rFonts w:ascii="Calibri" w:hAnsi="Calibri" w:cs="Calibri"/>
          <w:spacing w:val="-1"/>
          <w:sz w:val="24"/>
          <w:szCs w:val="24"/>
        </w:rPr>
        <w:t>organizations</w:t>
      </w:r>
      <w:r w:rsidRPr="00C97D84">
        <w:rPr>
          <w:rFonts w:ascii="Calibri" w:hAnsi="Calibri" w:cs="Calibri"/>
          <w:sz w:val="24"/>
          <w:szCs w:val="24"/>
        </w:rPr>
        <w:t xml:space="preserve"> and </w:t>
      </w:r>
      <w:r w:rsidRPr="00C97D84">
        <w:rPr>
          <w:rFonts w:ascii="Calibri" w:hAnsi="Calibri" w:cs="Calibri"/>
          <w:spacing w:val="-1"/>
          <w:sz w:val="24"/>
          <w:szCs w:val="24"/>
        </w:rPr>
        <w:t>hold/attend</w:t>
      </w:r>
      <w:r w:rsidRPr="00C97D84">
        <w:rPr>
          <w:rFonts w:ascii="Calibri" w:hAnsi="Calibri" w:cs="Calibri"/>
          <w:sz w:val="24"/>
          <w:szCs w:val="24"/>
        </w:rPr>
        <w:t xml:space="preserve"> </w:t>
      </w:r>
      <w:r w:rsidRPr="00C97D84">
        <w:rPr>
          <w:rFonts w:ascii="Calibri" w:hAnsi="Calibri" w:cs="Calibri"/>
          <w:spacing w:val="-1"/>
          <w:sz w:val="24"/>
          <w:szCs w:val="24"/>
        </w:rPr>
        <w:t>community meetings.</w:t>
      </w:r>
    </w:p>
    <w:p w14:paraId="44404F1E" w14:textId="77777777" w:rsidR="0088575B" w:rsidRPr="00C97D84" w:rsidRDefault="0088575B" w:rsidP="00E14863">
      <w:pPr>
        <w:pStyle w:val="ListParagraph"/>
        <w:numPr>
          <w:ilvl w:val="0"/>
          <w:numId w:val="3"/>
        </w:numPr>
        <w:spacing w:after="0" w:line="240" w:lineRule="auto"/>
        <w:rPr>
          <w:rFonts w:ascii="Calibri" w:hAnsi="Calibri" w:cs="Calibri"/>
          <w:sz w:val="24"/>
          <w:szCs w:val="24"/>
        </w:rPr>
      </w:pPr>
      <w:r w:rsidRPr="00C97D84">
        <w:rPr>
          <w:rFonts w:ascii="Calibri" w:hAnsi="Calibri" w:cs="Calibri"/>
          <w:spacing w:val="-1"/>
          <w:sz w:val="24"/>
          <w:szCs w:val="24"/>
        </w:rPr>
        <w:t>Other</w:t>
      </w:r>
      <w:r w:rsidRPr="00C97D84">
        <w:rPr>
          <w:rFonts w:ascii="Calibri" w:hAnsi="Calibri" w:cs="Calibri"/>
          <w:spacing w:val="5"/>
          <w:sz w:val="24"/>
          <w:szCs w:val="24"/>
        </w:rPr>
        <w:t xml:space="preserve"> </w:t>
      </w:r>
      <w:r w:rsidRPr="00C97D84">
        <w:rPr>
          <w:rFonts w:ascii="Calibri" w:hAnsi="Calibri" w:cs="Calibri"/>
          <w:spacing w:val="-1"/>
          <w:sz w:val="24"/>
          <w:szCs w:val="24"/>
        </w:rPr>
        <w:t>forms</w:t>
      </w:r>
      <w:r w:rsidRPr="00C97D84">
        <w:rPr>
          <w:rFonts w:ascii="Calibri" w:hAnsi="Calibri" w:cs="Calibri"/>
          <w:spacing w:val="2"/>
          <w:sz w:val="24"/>
          <w:szCs w:val="24"/>
        </w:rPr>
        <w:t xml:space="preserve"> </w:t>
      </w:r>
      <w:r w:rsidRPr="00C97D84">
        <w:rPr>
          <w:rFonts w:ascii="Calibri" w:hAnsi="Calibri" w:cs="Calibri"/>
          <w:sz w:val="24"/>
          <w:szCs w:val="24"/>
        </w:rPr>
        <w:t>of</w:t>
      </w:r>
      <w:r w:rsidRPr="00C97D84">
        <w:rPr>
          <w:rFonts w:ascii="Calibri" w:hAnsi="Calibri" w:cs="Calibri"/>
          <w:spacing w:val="4"/>
          <w:sz w:val="24"/>
          <w:szCs w:val="24"/>
        </w:rPr>
        <w:t xml:space="preserve"> </w:t>
      </w:r>
      <w:r w:rsidRPr="00C97D84">
        <w:rPr>
          <w:rFonts w:ascii="Calibri" w:hAnsi="Calibri" w:cs="Calibri"/>
          <w:spacing w:val="-1"/>
          <w:sz w:val="24"/>
          <w:szCs w:val="24"/>
        </w:rPr>
        <w:t>outreach</w:t>
      </w:r>
      <w:r w:rsidRPr="00C97D84">
        <w:rPr>
          <w:rFonts w:ascii="Calibri" w:hAnsi="Calibri" w:cs="Calibri"/>
          <w:spacing w:val="5"/>
          <w:sz w:val="24"/>
          <w:szCs w:val="24"/>
        </w:rPr>
        <w:t xml:space="preserve"> </w:t>
      </w:r>
      <w:r w:rsidRPr="00C97D84">
        <w:rPr>
          <w:rFonts w:ascii="Calibri" w:hAnsi="Calibri" w:cs="Calibri"/>
          <w:spacing w:val="-1"/>
          <w:sz w:val="24"/>
          <w:szCs w:val="24"/>
        </w:rPr>
        <w:t>tailored</w:t>
      </w:r>
      <w:r w:rsidRPr="00C97D84">
        <w:rPr>
          <w:rFonts w:ascii="Calibri" w:hAnsi="Calibri" w:cs="Calibri"/>
          <w:spacing w:val="5"/>
          <w:sz w:val="24"/>
          <w:szCs w:val="24"/>
        </w:rPr>
        <w:t xml:space="preserve"> </w:t>
      </w:r>
      <w:r w:rsidRPr="00C97D84">
        <w:rPr>
          <w:rFonts w:ascii="Calibri" w:hAnsi="Calibri" w:cs="Calibri"/>
          <w:spacing w:val="-1"/>
          <w:sz w:val="24"/>
          <w:szCs w:val="24"/>
        </w:rPr>
        <w:t>to</w:t>
      </w:r>
      <w:r w:rsidRPr="00C97D84">
        <w:rPr>
          <w:rFonts w:ascii="Calibri" w:hAnsi="Calibri" w:cs="Calibri"/>
          <w:spacing w:val="5"/>
          <w:sz w:val="24"/>
          <w:szCs w:val="24"/>
        </w:rPr>
        <w:t xml:space="preserve"> </w:t>
      </w:r>
      <w:r w:rsidRPr="00C97D84">
        <w:rPr>
          <w:rFonts w:ascii="Calibri" w:hAnsi="Calibri" w:cs="Calibri"/>
          <w:spacing w:val="-1"/>
          <w:sz w:val="24"/>
          <w:szCs w:val="24"/>
        </w:rPr>
        <w:t>reaching</w:t>
      </w:r>
      <w:r w:rsidRPr="00C97D84">
        <w:rPr>
          <w:rFonts w:ascii="Calibri" w:hAnsi="Calibri" w:cs="Calibri"/>
          <w:spacing w:val="5"/>
          <w:sz w:val="24"/>
          <w:szCs w:val="24"/>
        </w:rPr>
        <w:t xml:space="preserve"> </w:t>
      </w:r>
      <w:r w:rsidRPr="00C97D84">
        <w:rPr>
          <w:rFonts w:ascii="Calibri" w:hAnsi="Calibri" w:cs="Calibri"/>
          <w:sz w:val="24"/>
          <w:szCs w:val="24"/>
        </w:rPr>
        <w:t>the</w:t>
      </w:r>
      <w:r w:rsidRPr="00C97D84">
        <w:rPr>
          <w:rFonts w:ascii="Calibri" w:hAnsi="Calibri" w:cs="Calibri"/>
          <w:spacing w:val="3"/>
          <w:sz w:val="24"/>
          <w:szCs w:val="24"/>
        </w:rPr>
        <w:t xml:space="preserve"> </w:t>
      </w:r>
      <w:r w:rsidRPr="00C97D84">
        <w:rPr>
          <w:rFonts w:ascii="Calibri" w:hAnsi="Calibri" w:cs="Calibri"/>
          <w:spacing w:val="-1"/>
          <w:sz w:val="24"/>
          <w:szCs w:val="24"/>
        </w:rPr>
        <w:t>eligible</w:t>
      </w:r>
      <w:r w:rsidRPr="00C97D84">
        <w:rPr>
          <w:rFonts w:ascii="Calibri" w:hAnsi="Calibri" w:cs="Calibri"/>
          <w:spacing w:val="3"/>
          <w:sz w:val="24"/>
          <w:szCs w:val="24"/>
        </w:rPr>
        <w:t xml:space="preserve"> </w:t>
      </w:r>
      <w:r w:rsidRPr="00C97D84">
        <w:rPr>
          <w:rFonts w:ascii="Calibri" w:hAnsi="Calibri" w:cs="Calibri"/>
          <w:spacing w:val="-1"/>
          <w:sz w:val="24"/>
          <w:szCs w:val="24"/>
        </w:rPr>
        <w:t>population may be used,</w:t>
      </w:r>
      <w:r w:rsidRPr="00C97D84">
        <w:rPr>
          <w:rFonts w:ascii="Calibri" w:hAnsi="Calibri" w:cs="Calibri"/>
          <w:spacing w:val="5"/>
          <w:sz w:val="24"/>
          <w:szCs w:val="24"/>
        </w:rPr>
        <w:t xml:space="preserve"> </w:t>
      </w:r>
      <w:r w:rsidRPr="00C97D84">
        <w:rPr>
          <w:rFonts w:ascii="Calibri" w:hAnsi="Calibri" w:cs="Calibri"/>
          <w:spacing w:val="-1"/>
          <w:sz w:val="24"/>
          <w:szCs w:val="24"/>
        </w:rPr>
        <w:t>including</w:t>
      </w:r>
      <w:r w:rsidRPr="00C97D84">
        <w:rPr>
          <w:rFonts w:ascii="Calibri" w:hAnsi="Calibri" w:cs="Calibri"/>
          <w:spacing w:val="5"/>
          <w:sz w:val="24"/>
          <w:szCs w:val="24"/>
        </w:rPr>
        <w:t xml:space="preserve"> </w:t>
      </w:r>
      <w:r w:rsidRPr="00C97D84">
        <w:rPr>
          <w:rFonts w:ascii="Calibri" w:hAnsi="Calibri" w:cs="Calibri"/>
          <w:spacing w:val="-1"/>
          <w:sz w:val="24"/>
          <w:szCs w:val="24"/>
        </w:rPr>
        <w:t>door</w:t>
      </w:r>
      <w:r w:rsidRPr="00C97D84">
        <w:rPr>
          <w:rFonts w:ascii="Calibri" w:hAnsi="Calibri" w:cs="Calibri"/>
          <w:spacing w:val="2"/>
          <w:sz w:val="24"/>
          <w:szCs w:val="24"/>
        </w:rPr>
        <w:t xml:space="preserve"> </w:t>
      </w:r>
      <w:r w:rsidRPr="00C97D84">
        <w:rPr>
          <w:rFonts w:ascii="Calibri" w:hAnsi="Calibri" w:cs="Calibri"/>
          <w:spacing w:val="-1"/>
          <w:sz w:val="24"/>
          <w:szCs w:val="24"/>
        </w:rPr>
        <w:t>to</w:t>
      </w:r>
      <w:r w:rsidRPr="00C97D84">
        <w:rPr>
          <w:rFonts w:ascii="Calibri" w:hAnsi="Calibri" w:cs="Calibri"/>
          <w:spacing w:val="65"/>
          <w:sz w:val="24"/>
          <w:szCs w:val="24"/>
        </w:rPr>
        <w:t xml:space="preserve"> </w:t>
      </w:r>
      <w:r w:rsidRPr="00C97D84">
        <w:rPr>
          <w:rFonts w:ascii="Calibri" w:hAnsi="Calibri" w:cs="Calibri"/>
          <w:spacing w:val="-1"/>
          <w:sz w:val="24"/>
          <w:szCs w:val="24"/>
        </w:rPr>
        <w:t>door</w:t>
      </w:r>
      <w:r w:rsidRPr="00C97D84">
        <w:rPr>
          <w:rFonts w:ascii="Calibri" w:hAnsi="Calibri" w:cs="Calibri"/>
          <w:sz w:val="24"/>
          <w:szCs w:val="24"/>
        </w:rPr>
        <w:t xml:space="preserve"> </w:t>
      </w:r>
      <w:r w:rsidRPr="00C97D84">
        <w:rPr>
          <w:rFonts w:ascii="Calibri" w:hAnsi="Calibri" w:cs="Calibri"/>
          <w:spacing w:val="-1"/>
          <w:sz w:val="24"/>
          <w:szCs w:val="24"/>
        </w:rPr>
        <w:t>outreach</w:t>
      </w:r>
      <w:r w:rsidRPr="00C97D84">
        <w:rPr>
          <w:rFonts w:ascii="Calibri" w:hAnsi="Calibri" w:cs="Calibri"/>
          <w:sz w:val="24"/>
          <w:szCs w:val="24"/>
        </w:rPr>
        <w:t xml:space="preserve"> if</w:t>
      </w:r>
      <w:r w:rsidRPr="00C97D84">
        <w:rPr>
          <w:rFonts w:ascii="Calibri" w:hAnsi="Calibri" w:cs="Calibri"/>
          <w:spacing w:val="-1"/>
          <w:sz w:val="24"/>
          <w:szCs w:val="24"/>
        </w:rPr>
        <w:t xml:space="preserve"> </w:t>
      </w:r>
      <w:r w:rsidRPr="00C97D84">
        <w:rPr>
          <w:rFonts w:ascii="Calibri" w:hAnsi="Calibri" w:cs="Calibri"/>
          <w:sz w:val="24"/>
          <w:szCs w:val="24"/>
        </w:rPr>
        <w:t>necessary</w:t>
      </w:r>
      <w:r w:rsidRPr="00C97D84">
        <w:rPr>
          <w:rFonts w:ascii="Calibri" w:hAnsi="Calibri" w:cs="Calibri"/>
          <w:spacing w:val="-1"/>
          <w:sz w:val="24"/>
          <w:szCs w:val="24"/>
        </w:rPr>
        <w:t xml:space="preserve"> particularly</w:t>
      </w:r>
      <w:r w:rsidRPr="00C97D84">
        <w:rPr>
          <w:rFonts w:ascii="Calibri" w:hAnsi="Calibri" w:cs="Calibri"/>
          <w:sz w:val="24"/>
          <w:szCs w:val="24"/>
        </w:rPr>
        <w:t xml:space="preserve"> on the </w:t>
      </w:r>
      <w:r w:rsidRPr="00C97D84">
        <w:rPr>
          <w:rFonts w:ascii="Calibri" w:hAnsi="Calibri" w:cs="Calibri"/>
          <w:spacing w:val="-1"/>
          <w:sz w:val="24"/>
          <w:szCs w:val="24"/>
        </w:rPr>
        <w:t>weekends.</w:t>
      </w:r>
    </w:p>
    <w:p w14:paraId="041AF190" w14:textId="77777777" w:rsidR="0088575B" w:rsidRPr="00C97D84" w:rsidRDefault="0088575B" w:rsidP="00E14863">
      <w:pPr>
        <w:pStyle w:val="ListParagraph"/>
        <w:numPr>
          <w:ilvl w:val="0"/>
          <w:numId w:val="3"/>
        </w:numPr>
        <w:spacing w:after="0" w:line="240" w:lineRule="auto"/>
        <w:rPr>
          <w:rFonts w:ascii="Calibri" w:hAnsi="Calibri" w:cs="Calibri"/>
          <w:sz w:val="24"/>
          <w:szCs w:val="24"/>
        </w:rPr>
      </w:pPr>
      <w:r w:rsidRPr="00C97D84">
        <w:rPr>
          <w:rFonts w:ascii="Calibri" w:hAnsi="Calibri" w:cs="Calibri"/>
          <w:sz w:val="24"/>
          <w:szCs w:val="24"/>
        </w:rPr>
        <w:t>Documentation</w:t>
      </w:r>
      <w:r w:rsidRPr="00C97D84">
        <w:rPr>
          <w:rFonts w:ascii="Calibri" w:hAnsi="Calibri" w:cs="Calibri"/>
          <w:spacing w:val="-6"/>
          <w:sz w:val="24"/>
          <w:szCs w:val="24"/>
        </w:rPr>
        <w:t xml:space="preserve"> </w:t>
      </w:r>
      <w:r w:rsidRPr="00C97D84">
        <w:rPr>
          <w:rFonts w:ascii="Calibri" w:hAnsi="Calibri" w:cs="Calibri"/>
          <w:sz w:val="24"/>
          <w:szCs w:val="24"/>
        </w:rPr>
        <w:t>of</w:t>
      </w:r>
      <w:r w:rsidRPr="00C97D84">
        <w:rPr>
          <w:rFonts w:ascii="Calibri" w:hAnsi="Calibri" w:cs="Calibri"/>
          <w:spacing w:val="-5"/>
          <w:sz w:val="24"/>
          <w:szCs w:val="24"/>
        </w:rPr>
        <w:t xml:space="preserve"> </w:t>
      </w:r>
      <w:r w:rsidRPr="00C97D84">
        <w:rPr>
          <w:rFonts w:ascii="Calibri" w:hAnsi="Calibri" w:cs="Calibri"/>
          <w:sz w:val="24"/>
          <w:szCs w:val="24"/>
        </w:rPr>
        <w:t>all</w:t>
      </w:r>
      <w:r w:rsidRPr="00C97D84">
        <w:rPr>
          <w:rFonts w:ascii="Calibri" w:hAnsi="Calibri" w:cs="Calibri"/>
          <w:spacing w:val="-6"/>
          <w:sz w:val="24"/>
          <w:szCs w:val="24"/>
        </w:rPr>
        <w:t xml:space="preserve"> </w:t>
      </w:r>
      <w:r w:rsidRPr="00C97D84">
        <w:rPr>
          <w:rFonts w:ascii="Calibri" w:hAnsi="Calibri" w:cs="Calibri"/>
          <w:sz w:val="24"/>
          <w:szCs w:val="24"/>
        </w:rPr>
        <w:t>marketing</w:t>
      </w:r>
      <w:r w:rsidRPr="00C97D84">
        <w:rPr>
          <w:rFonts w:ascii="Calibri" w:hAnsi="Calibri" w:cs="Calibri"/>
          <w:spacing w:val="-5"/>
          <w:sz w:val="24"/>
          <w:szCs w:val="24"/>
        </w:rPr>
        <w:t xml:space="preserve"> </w:t>
      </w:r>
      <w:r w:rsidRPr="00C97D84">
        <w:rPr>
          <w:rFonts w:ascii="Calibri" w:hAnsi="Calibri" w:cs="Calibri"/>
          <w:sz w:val="24"/>
          <w:szCs w:val="24"/>
        </w:rPr>
        <w:t>measures</w:t>
      </w:r>
      <w:r w:rsidRPr="00C97D84">
        <w:rPr>
          <w:rFonts w:ascii="Calibri" w:hAnsi="Calibri" w:cs="Calibri"/>
          <w:spacing w:val="-5"/>
          <w:sz w:val="24"/>
          <w:szCs w:val="24"/>
        </w:rPr>
        <w:t xml:space="preserve"> </w:t>
      </w:r>
      <w:r w:rsidRPr="00C97D84">
        <w:rPr>
          <w:rFonts w:ascii="Calibri" w:hAnsi="Calibri" w:cs="Calibri"/>
          <w:sz w:val="24"/>
          <w:szCs w:val="24"/>
        </w:rPr>
        <w:t>used,</w:t>
      </w:r>
      <w:r w:rsidRPr="00C97D84">
        <w:rPr>
          <w:rFonts w:ascii="Calibri" w:hAnsi="Calibri" w:cs="Calibri"/>
          <w:spacing w:val="-5"/>
          <w:sz w:val="24"/>
          <w:szCs w:val="24"/>
        </w:rPr>
        <w:t xml:space="preserve"> </w:t>
      </w:r>
      <w:r w:rsidRPr="00C97D84">
        <w:rPr>
          <w:rFonts w:ascii="Calibri" w:hAnsi="Calibri" w:cs="Calibri"/>
          <w:sz w:val="24"/>
          <w:szCs w:val="24"/>
        </w:rPr>
        <w:t>including</w:t>
      </w:r>
      <w:r w:rsidRPr="00C97D84">
        <w:rPr>
          <w:rFonts w:ascii="Calibri" w:hAnsi="Calibri" w:cs="Calibri"/>
          <w:spacing w:val="-5"/>
          <w:sz w:val="24"/>
          <w:szCs w:val="24"/>
        </w:rPr>
        <w:t xml:space="preserve"> </w:t>
      </w:r>
      <w:r w:rsidRPr="00C97D84">
        <w:rPr>
          <w:rFonts w:ascii="Calibri" w:hAnsi="Calibri" w:cs="Calibri"/>
          <w:sz w:val="24"/>
          <w:szCs w:val="24"/>
        </w:rPr>
        <w:t>copies</w:t>
      </w:r>
      <w:r w:rsidRPr="00C97D84">
        <w:rPr>
          <w:rFonts w:ascii="Calibri" w:hAnsi="Calibri" w:cs="Calibri"/>
          <w:spacing w:val="-5"/>
          <w:sz w:val="24"/>
          <w:szCs w:val="24"/>
        </w:rPr>
        <w:t xml:space="preserve"> </w:t>
      </w:r>
      <w:r w:rsidRPr="00C97D84">
        <w:rPr>
          <w:rFonts w:ascii="Calibri" w:hAnsi="Calibri" w:cs="Calibri"/>
          <w:sz w:val="24"/>
          <w:szCs w:val="24"/>
        </w:rPr>
        <w:t>of</w:t>
      </w:r>
      <w:r w:rsidRPr="00C97D84">
        <w:rPr>
          <w:rFonts w:ascii="Calibri" w:hAnsi="Calibri" w:cs="Calibri"/>
          <w:spacing w:val="-5"/>
          <w:sz w:val="24"/>
          <w:szCs w:val="24"/>
        </w:rPr>
        <w:t xml:space="preserve"> </w:t>
      </w:r>
      <w:r w:rsidRPr="00C97D84">
        <w:rPr>
          <w:rFonts w:ascii="Calibri" w:hAnsi="Calibri" w:cs="Calibri"/>
          <w:sz w:val="24"/>
          <w:szCs w:val="24"/>
        </w:rPr>
        <w:t>all</w:t>
      </w:r>
      <w:r w:rsidRPr="00C97D84">
        <w:rPr>
          <w:rFonts w:ascii="Calibri" w:hAnsi="Calibri" w:cs="Calibri"/>
          <w:spacing w:val="-6"/>
          <w:sz w:val="24"/>
          <w:szCs w:val="24"/>
        </w:rPr>
        <w:t xml:space="preserve"> </w:t>
      </w:r>
      <w:r w:rsidRPr="00C97D84">
        <w:rPr>
          <w:rFonts w:ascii="Calibri" w:hAnsi="Calibri" w:cs="Calibri"/>
          <w:sz w:val="24"/>
          <w:szCs w:val="24"/>
        </w:rPr>
        <w:t>advertisements</w:t>
      </w:r>
      <w:r w:rsidRPr="00C97D84">
        <w:rPr>
          <w:rFonts w:ascii="Calibri" w:hAnsi="Calibri" w:cs="Calibri"/>
          <w:spacing w:val="-5"/>
          <w:sz w:val="24"/>
          <w:szCs w:val="24"/>
        </w:rPr>
        <w:t xml:space="preserve"> </w:t>
      </w:r>
      <w:r w:rsidRPr="00C97D84">
        <w:rPr>
          <w:rFonts w:ascii="Calibri" w:hAnsi="Calibri" w:cs="Calibri"/>
          <w:spacing w:val="-2"/>
          <w:sz w:val="24"/>
          <w:szCs w:val="24"/>
        </w:rPr>
        <w:t>and</w:t>
      </w:r>
      <w:r w:rsidRPr="00C97D84">
        <w:rPr>
          <w:rFonts w:ascii="Calibri" w:hAnsi="Calibri" w:cs="Calibri"/>
          <w:spacing w:val="61"/>
          <w:sz w:val="24"/>
          <w:szCs w:val="24"/>
        </w:rPr>
        <w:t xml:space="preserve"> </w:t>
      </w:r>
      <w:r w:rsidRPr="00C97D84">
        <w:rPr>
          <w:rFonts w:ascii="Calibri" w:hAnsi="Calibri" w:cs="Calibri"/>
          <w:sz w:val="24"/>
          <w:szCs w:val="24"/>
        </w:rPr>
        <w:t>announcements, will</w:t>
      </w:r>
      <w:r w:rsidRPr="00C97D84">
        <w:rPr>
          <w:rFonts w:ascii="Calibri" w:hAnsi="Calibri" w:cs="Calibri"/>
          <w:spacing w:val="-4"/>
          <w:sz w:val="24"/>
          <w:szCs w:val="24"/>
        </w:rPr>
        <w:t xml:space="preserve"> </w:t>
      </w:r>
      <w:r w:rsidRPr="00C97D84">
        <w:rPr>
          <w:rFonts w:ascii="Calibri" w:hAnsi="Calibri" w:cs="Calibri"/>
          <w:sz w:val="24"/>
          <w:szCs w:val="24"/>
        </w:rPr>
        <w:t>be</w:t>
      </w:r>
      <w:r w:rsidRPr="00C97D84">
        <w:rPr>
          <w:rFonts w:ascii="Calibri" w:hAnsi="Calibri" w:cs="Calibri"/>
          <w:spacing w:val="-2"/>
          <w:sz w:val="24"/>
          <w:szCs w:val="24"/>
        </w:rPr>
        <w:t xml:space="preserve"> </w:t>
      </w:r>
      <w:r w:rsidRPr="00C97D84">
        <w:rPr>
          <w:rFonts w:ascii="Calibri" w:hAnsi="Calibri" w:cs="Calibri"/>
          <w:sz w:val="24"/>
          <w:szCs w:val="24"/>
        </w:rPr>
        <w:t>retained and made</w:t>
      </w:r>
      <w:r w:rsidRPr="00C97D84">
        <w:rPr>
          <w:rFonts w:ascii="Calibri" w:hAnsi="Calibri" w:cs="Calibri"/>
          <w:spacing w:val="-2"/>
          <w:sz w:val="24"/>
          <w:szCs w:val="24"/>
        </w:rPr>
        <w:t xml:space="preserve"> </w:t>
      </w:r>
      <w:r w:rsidRPr="00C97D84">
        <w:rPr>
          <w:rFonts w:ascii="Calibri" w:hAnsi="Calibri" w:cs="Calibri"/>
          <w:sz w:val="24"/>
          <w:szCs w:val="24"/>
        </w:rPr>
        <w:t>available</w:t>
      </w:r>
      <w:r w:rsidRPr="00C97D84">
        <w:rPr>
          <w:rFonts w:ascii="Calibri" w:hAnsi="Calibri" w:cs="Calibri"/>
          <w:spacing w:val="-2"/>
          <w:sz w:val="24"/>
          <w:szCs w:val="24"/>
        </w:rPr>
        <w:t xml:space="preserve"> </w:t>
      </w:r>
      <w:r w:rsidRPr="00C97D84">
        <w:rPr>
          <w:rFonts w:ascii="Calibri" w:hAnsi="Calibri" w:cs="Calibri"/>
          <w:sz w:val="24"/>
          <w:szCs w:val="24"/>
        </w:rPr>
        <w:t>to the</w:t>
      </w:r>
      <w:r w:rsidRPr="00C97D84">
        <w:rPr>
          <w:rFonts w:ascii="Calibri" w:hAnsi="Calibri" w:cs="Calibri"/>
          <w:spacing w:val="-2"/>
          <w:sz w:val="24"/>
          <w:szCs w:val="24"/>
        </w:rPr>
        <w:t xml:space="preserve"> </w:t>
      </w:r>
      <w:r w:rsidRPr="00C97D84">
        <w:rPr>
          <w:rFonts w:ascii="Calibri" w:hAnsi="Calibri" w:cs="Calibri"/>
          <w:sz w:val="24"/>
          <w:szCs w:val="24"/>
        </w:rPr>
        <w:t>public upon</w:t>
      </w:r>
      <w:r w:rsidRPr="00C97D84">
        <w:rPr>
          <w:rFonts w:ascii="Calibri" w:hAnsi="Calibri" w:cs="Calibri"/>
          <w:spacing w:val="-2"/>
          <w:sz w:val="24"/>
          <w:szCs w:val="24"/>
        </w:rPr>
        <w:t xml:space="preserve"> </w:t>
      </w:r>
      <w:r w:rsidRPr="00C97D84">
        <w:rPr>
          <w:rFonts w:ascii="Calibri" w:hAnsi="Calibri" w:cs="Calibri"/>
          <w:sz w:val="24"/>
          <w:szCs w:val="24"/>
        </w:rPr>
        <w:t>request.</w:t>
      </w:r>
    </w:p>
    <w:p w14:paraId="24C26469" w14:textId="7BCB0D16" w:rsidR="0088575B" w:rsidRPr="00C97D84" w:rsidRDefault="0088575B" w:rsidP="000307CA">
      <w:pPr>
        <w:spacing w:after="0" w:line="240" w:lineRule="auto"/>
        <w:rPr>
          <w:rFonts w:ascii="Calibri" w:hAnsi="Calibri" w:cs="Calibri"/>
          <w:sz w:val="24"/>
          <w:szCs w:val="24"/>
        </w:rPr>
      </w:pPr>
    </w:p>
    <w:p w14:paraId="5092DF58" w14:textId="672C3C8E" w:rsidR="0088575B" w:rsidRDefault="0088575B" w:rsidP="000307CA">
      <w:pPr>
        <w:spacing w:after="0" w:line="240" w:lineRule="auto"/>
        <w:rPr>
          <w:rStyle w:val="IntenseReference"/>
          <w:rFonts w:ascii="Calibri" w:hAnsi="Calibri" w:cs="Calibri"/>
          <w:b w:val="0"/>
          <w:bCs w:val="0"/>
          <w:smallCaps w:val="0"/>
          <w:sz w:val="44"/>
          <w:szCs w:val="44"/>
        </w:rPr>
      </w:pPr>
      <w:r w:rsidRPr="00C97D84">
        <w:rPr>
          <w:rFonts w:ascii="Calibri" w:hAnsi="Calibri" w:cs="Calibri"/>
          <w:sz w:val="24"/>
          <w:szCs w:val="24"/>
        </w:rPr>
        <w:t>HCDD has discretion in the modification and/or addition of requirements to the Outreach Plan.</w:t>
      </w:r>
    </w:p>
    <w:p w14:paraId="14C57B79" w14:textId="0384BB81" w:rsidR="00F374E5" w:rsidRDefault="00F374E5" w:rsidP="000307CA">
      <w:pPr>
        <w:spacing w:after="0" w:line="240" w:lineRule="auto"/>
        <w:rPr>
          <w:rStyle w:val="IntenseReference"/>
          <w:rFonts w:ascii="Calibri" w:hAnsi="Calibri" w:cs="Calibri"/>
          <w:b w:val="0"/>
          <w:bCs w:val="0"/>
          <w:smallCaps w:val="0"/>
          <w:sz w:val="24"/>
        </w:rPr>
      </w:pPr>
    </w:p>
    <w:p w14:paraId="1619FED6" w14:textId="77777777" w:rsidR="00F374E5" w:rsidRDefault="00F374E5" w:rsidP="000307CA">
      <w:pPr>
        <w:spacing w:after="0" w:line="240" w:lineRule="auto"/>
        <w:rPr>
          <w:rStyle w:val="IntenseReference"/>
          <w:rFonts w:ascii="Calibri" w:hAnsi="Calibri" w:cs="Calibri"/>
          <w:b w:val="0"/>
          <w:bCs w:val="0"/>
          <w:smallCaps w:val="0"/>
          <w:sz w:val="24"/>
        </w:rPr>
      </w:pPr>
    </w:p>
    <w:p w14:paraId="0A3ACC47" w14:textId="77777777" w:rsidR="009D2B46" w:rsidRPr="00D34D6A" w:rsidRDefault="009D2B46" w:rsidP="000307CA">
      <w:pPr>
        <w:spacing w:after="0" w:line="240" w:lineRule="auto"/>
        <w:rPr>
          <w:rStyle w:val="IntenseReference"/>
          <w:rFonts w:ascii="Calibri" w:hAnsi="Calibri" w:cs="Calibri"/>
          <w:b w:val="0"/>
          <w:bCs w:val="0"/>
          <w:smallCaps w:val="0"/>
          <w:sz w:val="24"/>
        </w:rPr>
      </w:pPr>
    </w:p>
    <w:p w14:paraId="27F61040" w14:textId="02604493" w:rsidR="00A94AAB" w:rsidRPr="00C97D84" w:rsidRDefault="00A94AAB" w:rsidP="000307CA">
      <w:pPr>
        <w:pStyle w:val="Title"/>
        <w:spacing w:after="0"/>
        <w:outlineLvl w:val="0"/>
        <w:rPr>
          <w:rStyle w:val="IntenseReference"/>
          <w:rFonts w:ascii="Calibri" w:hAnsi="Calibri" w:cs="Calibri"/>
          <w:b w:val="0"/>
          <w:bCs w:val="0"/>
          <w:color w:val="0070C0"/>
          <w:sz w:val="36"/>
          <w:szCs w:val="36"/>
        </w:rPr>
      </w:pPr>
      <w:bookmarkStart w:id="33" w:name="_Toc8137185"/>
      <w:bookmarkStart w:id="34" w:name="_Toc22628986"/>
      <w:r w:rsidRPr="00C97D84">
        <w:rPr>
          <w:rStyle w:val="IntenseReference"/>
          <w:rFonts w:ascii="Calibri" w:hAnsi="Calibri" w:cs="Calibri"/>
          <w:b w:val="0"/>
          <w:bCs w:val="0"/>
          <w:color w:val="0070C0"/>
          <w:sz w:val="36"/>
          <w:szCs w:val="36"/>
        </w:rPr>
        <w:t>Procurement</w:t>
      </w:r>
      <w:bookmarkEnd w:id="33"/>
      <w:bookmarkEnd w:id="34"/>
    </w:p>
    <w:p w14:paraId="25DA41EA" w14:textId="1BE7B336" w:rsidR="00A94AAB" w:rsidRPr="00C97D84" w:rsidRDefault="00394E25" w:rsidP="000307CA">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City </w:t>
      </w:r>
      <w:r w:rsidR="00A94AAB" w:rsidRPr="00C97D84">
        <w:rPr>
          <w:rFonts w:ascii="Calibri" w:eastAsia="Times New Roman" w:hAnsi="Calibri" w:cs="Calibri"/>
          <w:sz w:val="24"/>
          <w:szCs w:val="24"/>
        </w:rPr>
        <w:t xml:space="preserve">shall provide adequate documentation to show that selection processes </w:t>
      </w:r>
      <w:r w:rsidR="009D2B46">
        <w:rPr>
          <w:rFonts w:ascii="Calibri" w:eastAsia="Times New Roman" w:hAnsi="Calibri" w:cs="Calibri"/>
          <w:sz w:val="24"/>
          <w:szCs w:val="24"/>
        </w:rPr>
        <w:t>was</w:t>
      </w:r>
      <w:r w:rsidR="009D2B46" w:rsidRPr="00C97D84">
        <w:rPr>
          <w:rFonts w:ascii="Calibri" w:eastAsia="Times New Roman" w:hAnsi="Calibri" w:cs="Calibri"/>
          <w:sz w:val="24"/>
          <w:szCs w:val="24"/>
        </w:rPr>
        <w:t xml:space="preserve"> </w:t>
      </w:r>
      <w:r w:rsidR="00A94AAB" w:rsidRPr="00C97D84">
        <w:rPr>
          <w:rFonts w:ascii="Calibri" w:eastAsia="Times New Roman" w:hAnsi="Calibri" w:cs="Calibri"/>
          <w:sz w:val="24"/>
          <w:szCs w:val="24"/>
        </w:rPr>
        <w:t xml:space="preserve">carried out in an open, fair, uniform, and thorough manner to ensure that federal (2 </w:t>
      </w:r>
      <w:r w:rsidR="00C821F6">
        <w:rPr>
          <w:rFonts w:ascii="Calibri" w:eastAsia="Times New Roman" w:hAnsi="Calibri" w:cs="Calibri"/>
          <w:sz w:val="24"/>
          <w:szCs w:val="24"/>
        </w:rPr>
        <w:t>C.F.R.</w:t>
      </w:r>
      <w:r w:rsidR="00A94AAB" w:rsidRPr="00C97D84">
        <w:rPr>
          <w:rFonts w:ascii="Calibri" w:eastAsia="Times New Roman" w:hAnsi="Calibri" w:cs="Calibri"/>
          <w:sz w:val="24"/>
          <w:szCs w:val="24"/>
        </w:rPr>
        <w:t xml:space="preserve"> </w:t>
      </w:r>
      <w:r w:rsidR="00C821F6">
        <w:rPr>
          <w:rFonts w:ascii="Calibri" w:eastAsia="Times New Roman" w:hAnsi="Calibri" w:cs="Calibri"/>
          <w:sz w:val="24"/>
          <w:szCs w:val="24"/>
        </w:rPr>
        <w:t xml:space="preserve">§§ </w:t>
      </w:r>
      <w:r w:rsidR="00A94AAB" w:rsidRPr="00C97D84">
        <w:rPr>
          <w:rFonts w:ascii="Calibri" w:eastAsia="Times New Roman" w:hAnsi="Calibri" w:cs="Calibri"/>
          <w:sz w:val="24"/>
          <w:szCs w:val="24"/>
        </w:rPr>
        <w:t xml:space="preserve">200.318–200.326), state, and City requirements were met. </w:t>
      </w:r>
    </w:p>
    <w:p w14:paraId="411F7F9B" w14:textId="77777777" w:rsidR="00A94AAB" w:rsidRPr="00C97D84" w:rsidRDefault="00A94AAB" w:rsidP="000307CA">
      <w:pPr>
        <w:spacing w:after="0" w:line="240" w:lineRule="auto"/>
        <w:rPr>
          <w:rFonts w:ascii="Calibri" w:eastAsia="Times New Roman" w:hAnsi="Calibri" w:cs="Calibri"/>
          <w:sz w:val="24"/>
          <w:szCs w:val="24"/>
        </w:rPr>
      </w:pPr>
    </w:p>
    <w:p w14:paraId="706F2FBA" w14:textId="77777777" w:rsidR="00A94AAB" w:rsidRPr="00C97D84" w:rsidRDefault="00A94AAB" w:rsidP="000307CA">
      <w:pPr>
        <w:spacing w:after="0" w:line="240" w:lineRule="auto"/>
        <w:rPr>
          <w:rFonts w:ascii="Calibri" w:eastAsia="Times New Roman" w:hAnsi="Calibri" w:cs="Calibri"/>
          <w:sz w:val="24"/>
          <w:szCs w:val="24"/>
        </w:rPr>
      </w:pPr>
      <w:r w:rsidRPr="00C97D84">
        <w:rPr>
          <w:rFonts w:ascii="Calibri" w:eastAsia="Times New Roman" w:hAnsi="Calibri" w:cs="Calibri"/>
          <w:sz w:val="24"/>
          <w:szCs w:val="24"/>
        </w:rPr>
        <w:t xml:space="preserve">Record retention records must include, but are not limited to, the following information: </w:t>
      </w:r>
    </w:p>
    <w:p w14:paraId="7486EB47" w14:textId="22D2EE91" w:rsidR="00A94AAB" w:rsidRPr="00C97D84" w:rsidRDefault="00A94AAB" w:rsidP="00E14863">
      <w:pPr>
        <w:pStyle w:val="ListParagraph"/>
        <w:numPr>
          <w:ilvl w:val="0"/>
          <w:numId w:val="7"/>
        </w:numPr>
        <w:spacing w:after="0" w:line="240" w:lineRule="auto"/>
        <w:rPr>
          <w:rFonts w:ascii="Calibri" w:eastAsia="Times New Roman" w:hAnsi="Calibri" w:cs="Calibri"/>
          <w:sz w:val="24"/>
          <w:szCs w:val="24"/>
        </w:rPr>
      </w:pPr>
      <w:r w:rsidRPr="00C97D84">
        <w:rPr>
          <w:rFonts w:ascii="Calibri" w:eastAsia="Times New Roman" w:hAnsi="Calibri" w:cs="Calibri"/>
          <w:sz w:val="24"/>
          <w:szCs w:val="24"/>
        </w:rPr>
        <w:t>Rational</w:t>
      </w:r>
      <w:r w:rsidR="00394E25">
        <w:rPr>
          <w:rFonts w:ascii="Calibri" w:eastAsia="Times New Roman" w:hAnsi="Calibri" w:cs="Calibri"/>
          <w:sz w:val="24"/>
          <w:szCs w:val="24"/>
        </w:rPr>
        <w:t>e</w:t>
      </w:r>
      <w:r w:rsidRPr="00C97D84">
        <w:rPr>
          <w:rFonts w:ascii="Calibri" w:eastAsia="Times New Roman" w:hAnsi="Calibri" w:cs="Calibri"/>
          <w:sz w:val="24"/>
          <w:szCs w:val="24"/>
        </w:rPr>
        <w:t xml:space="preserve"> for the method of procurement; </w:t>
      </w:r>
    </w:p>
    <w:p w14:paraId="76FCF49B" w14:textId="77777777" w:rsidR="00A94AAB" w:rsidRPr="00C97D84" w:rsidRDefault="00A94AAB" w:rsidP="00E14863">
      <w:pPr>
        <w:pStyle w:val="ListParagraph"/>
        <w:numPr>
          <w:ilvl w:val="0"/>
          <w:numId w:val="7"/>
        </w:numPr>
        <w:spacing w:after="0" w:line="240" w:lineRule="auto"/>
        <w:rPr>
          <w:rFonts w:ascii="Calibri" w:eastAsia="Times New Roman" w:hAnsi="Calibri" w:cs="Calibri"/>
          <w:sz w:val="24"/>
          <w:szCs w:val="24"/>
        </w:rPr>
      </w:pPr>
      <w:r w:rsidRPr="00C97D84">
        <w:rPr>
          <w:rFonts w:ascii="Calibri" w:eastAsia="Times New Roman" w:hAnsi="Calibri" w:cs="Calibri"/>
          <w:sz w:val="24"/>
          <w:szCs w:val="24"/>
        </w:rPr>
        <w:t xml:space="preserve">Evaluation and selection criteria; </w:t>
      </w:r>
    </w:p>
    <w:p w14:paraId="6140DB36" w14:textId="77777777" w:rsidR="00A94AAB" w:rsidRPr="00C97D84" w:rsidRDefault="00A94AAB" w:rsidP="00E14863">
      <w:pPr>
        <w:pStyle w:val="ListParagraph"/>
        <w:numPr>
          <w:ilvl w:val="0"/>
          <w:numId w:val="7"/>
        </w:numPr>
        <w:spacing w:after="0" w:line="240" w:lineRule="auto"/>
        <w:rPr>
          <w:rFonts w:ascii="Calibri" w:eastAsia="Times New Roman" w:hAnsi="Calibri" w:cs="Calibri"/>
          <w:sz w:val="24"/>
          <w:szCs w:val="24"/>
        </w:rPr>
      </w:pPr>
      <w:r w:rsidRPr="00C97D84">
        <w:rPr>
          <w:rFonts w:ascii="Calibri" w:eastAsia="Times New Roman" w:hAnsi="Calibri" w:cs="Calibri"/>
          <w:sz w:val="24"/>
          <w:szCs w:val="24"/>
        </w:rPr>
        <w:t xml:space="preserve">Contractor selection or rejection; and </w:t>
      </w:r>
    </w:p>
    <w:p w14:paraId="10269F08" w14:textId="77777777" w:rsidR="00A94AAB" w:rsidRPr="00C97D84" w:rsidRDefault="00A94AAB" w:rsidP="00E14863">
      <w:pPr>
        <w:pStyle w:val="ListParagraph"/>
        <w:numPr>
          <w:ilvl w:val="0"/>
          <w:numId w:val="7"/>
        </w:numPr>
        <w:spacing w:after="0" w:line="240" w:lineRule="auto"/>
        <w:rPr>
          <w:rFonts w:ascii="Calibri" w:eastAsia="Times New Roman" w:hAnsi="Calibri" w:cs="Calibri"/>
          <w:sz w:val="24"/>
          <w:szCs w:val="24"/>
        </w:rPr>
      </w:pPr>
      <w:r w:rsidRPr="00C97D84">
        <w:rPr>
          <w:rFonts w:ascii="Calibri" w:eastAsia="Times New Roman" w:hAnsi="Calibri" w:cs="Calibri"/>
          <w:sz w:val="24"/>
          <w:szCs w:val="24"/>
        </w:rPr>
        <w:t xml:space="preserve">The basis for the cost or price. </w:t>
      </w:r>
    </w:p>
    <w:p w14:paraId="34AFA569" w14:textId="77777777" w:rsidR="00A94AAB" w:rsidRPr="00C97D84" w:rsidRDefault="00A94AAB" w:rsidP="000307CA">
      <w:pPr>
        <w:spacing w:after="0" w:line="240" w:lineRule="auto"/>
        <w:rPr>
          <w:rFonts w:ascii="Calibri" w:eastAsia="Times New Roman" w:hAnsi="Calibri" w:cs="Calibri"/>
          <w:sz w:val="24"/>
          <w:szCs w:val="24"/>
        </w:rPr>
      </w:pPr>
    </w:p>
    <w:p w14:paraId="51698D20" w14:textId="48ED65AC" w:rsidR="00A94AAB" w:rsidRPr="00C97D84" w:rsidRDefault="00A94AAB" w:rsidP="000307CA">
      <w:pPr>
        <w:spacing w:after="0" w:line="240" w:lineRule="auto"/>
        <w:rPr>
          <w:rFonts w:ascii="Calibri" w:eastAsia="Times New Roman" w:hAnsi="Calibri" w:cs="Calibri"/>
          <w:sz w:val="24"/>
          <w:szCs w:val="24"/>
        </w:rPr>
      </w:pPr>
      <w:r w:rsidRPr="00C97D84">
        <w:rPr>
          <w:rFonts w:ascii="Calibri" w:eastAsia="Times New Roman" w:hAnsi="Calibri" w:cs="Calibri"/>
          <w:sz w:val="24"/>
          <w:szCs w:val="24"/>
        </w:rPr>
        <w:t>During the procurement process</w:t>
      </w:r>
      <w:r w:rsidR="00394E25">
        <w:rPr>
          <w:rFonts w:ascii="Calibri" w:eastAsia="Times New Roman" w:hAnsi="Calibri" w:cs="Calibri"/>
          <w:sz w:val="24"/>
          <w:szCs w:val="24"/>
        </w:rPr>
        <w:t xml:space="preserve">, the City </w:t>
      </w:r>
      <w:r w:rsidR="009D2B46">
        <w:rPr>
          <w:rFonts w:ascii="Calibri" w:eastAsia="Times New Roman" w:hAnsi="Calibri" w:cs="Calibri"/>
          <w:sz w:val="24"/>
          <w:szCs w:val="24"/>
        </w:rPr>
        <w:t xml:space="preserve">will </w:t>
      </w:r>
      <w:r w:rsidRPr="00C97D84">
        <w:rPr>
          <w:rFonts w:ascii="Calibri" w:eastAsia="Times New Roman" w:hAnsi="Calibri" w:cs="Calibri"/>
          <w:sz w:val="24"/>
          <w:szCs w:val="24"/>
        </w:rPr>
        <w:t>clearly identify any items included in the bid/purchase.</w:t>
      </w:r>
      <w:r>
        <w:rPr>
          <w:rFonts w:ascii="Calibri" w:eastAsia="Times New Roman" w:hAnsi="Calibri" w:cs="Calibri"/>
          <w:sz w:val="24"/>
          <w:szCs w:val="24"/>
        </w:rPr>
        <w:t xml:space="preserve"> </w:t>
      </w:r>
      <w:r w:rsidR="009D2B46">
        <w:rPr>
          <w:rFonts w:ascii="Calibri" w:eastAsia="Times New Roman" w:hAnsi="Calibri" w:cs="Calibri"/>
          <w:sz w:val="24"/>
          <w:szCs w:val="24"/>
        </w:rPr>
        <w:t>T</w:t>
      </w:r>
      <w:r w:rsidRPr="00C97D84">
        <w:rPr>
          <w:rFonts w:ascii="Calibri" w:eastAsia="Times New Roman" w:hAnsi="Calibri" w:cs="Calibri"/>
          <w:sz w:val="24"/>
          <w:szCs w:val="24"/>
        </w:rPr>
        <w:t>he City may utilize HUD’s CDBG-DR Procurement Guidance.</w:t>
      </w:r>
    </w:p>
    <w:p w14:paraId="5957F89D" w14:textId="77777777" w:rsidR="00A94AAB" w:rsidRPr="00C97D84" w:rsidRDefault="00A94AAB" w:rsidP="000307CA">
      <w:pPr>
        <w:spacing w:after="0" w:line="240" w:lineRule="auto"/>
        <w:rPr>
          <w:rFonts w:ascii="Calibri" w:eastAsia="Times New Roman" w:hAnsi="Calibri" w:cs="Calibri"/>
          <w:sz w:val="24"/>
          <w:szCs w:val="24"/>
        </w:rPr>
      </w:pPr>
    </w:p>
    <w:p w14:paraId="1EE97FC5" w14:textId="0718AF0E" w:rsidR="00A94AAB" w:rsidRPr="00C97D84" w:rsidRDefault="00394E25" w:rsidP="000307CA">
      <w:pPr>
        <w:pStyle w:val="NormalWeb"/>
        <w:spacing w:before="0" w:beforeAutospacing="0" w:after="0" w:afterAutospacing="0"/>
        <w:rPr>
          <w:rFonts w:ascii="Calibri" w:hAnsi="Calibri" w:cs="Calibri"/>
        </w:rPr>
      </w:pPr>
      <w:r>
        <w:rPr>
          <w:rFonts w:ascii="Calibri" w:hAnsi="Calibri" w:cs="Calibri"/>
        </w:rPr>
        <w:t xml:space="preserve">The City </w:t>
      </w:r>
      <w:r w:rsidR="009D2B46">
        <w:rPr>
          <w:rFonts w:ascii="Calibri" w:hAnsi="Calibri" w:cs="Calibri"/>
        </w:rPr>
        <w:t>shall</w:t>
      </w:r>
      <w:r w:rsidR="00A94AAB" w:rsidRPr="00C97D84">
        <w:rPr>
          <w:rFonts w:ascii="Calibri" w:hAnsi="Calibri" w:cs="Calibri"/>
        </w:rPr>
        <w:t xml:space="preserve"> procure goods and services using the federal procurement and contract requirements outlined in 2 </w:t>
      </w:r>
      <w:r w:rsidR="00C821F6">
        <w:rPr>
          <w:rFonts w:ascii="Calibri" w:hAnsi="Calibri" w:cs="Calibri"/>
        </w:rPr>
        <w:t>C.F.R. §§</w:t>
      </w:r>
      <w:r w:rsidR="00A94AAB" w:rsidRPr="00C97D84">
        <w:rPr>
          <w:rFonts w:ascii="Calibri" w:hAnsi="Calibri" w:cs="Calibri"/>
        </w:rPr>
        <w:t xml:space="preserve"> 200.318 – 200.326.</w:t>
      </w:r>
      <w:r w:rsidR="00A94AAB">
        <w:rPr>
          <w:rFonts w:ascii="Calibri" w:hAnsi="Calibri" w:cs="Calibri"/>
        </w:rPr>
        <w:t xml:space="preserve"> </w:t>
      </w:r>
      <w:r w:rsidR="00A94AAB" w:rsidRPr="00C97D84">
        <w:rPr>
          <w:rFonts w:ascii="Calibri" w:hAnsi="Calibri" w:cs="Calibri"/>
        </w:rPr>
        <w:t>These procurement requirements must be followed for reimbursement from grant allocations of CDBG-DR funds provided by HUD.</w:t>
      </w:r>
      <w:r w:rsidR="00A94AAB">
        <w:rPr>
          <w:rFonts w:ascii="Calibri" w:hAnsi="Calibri" w:cs="Calibri"/>
        </w:rPr>
        <w:t xml:space="preserve"> </w:t>
      </w:r>
      <w:r>
        <w:rPr>
          <w:rFonts w:ascii="Calibri" w:hAnsi="Calibri" w:cs="Calibri"/>
        </w:rPr>
        <w:t>The City</w:t>
      </w:r>
      <w:r w:rsidR="009D2B46">
        <w:rPr>
          <w:rFonts w:ascii="Calibri" w:hAnsi="Calibri" w:cs="Calibri"/>
        </w:rPr>
        <w:t xml:space="preserve"> is </w:t>
      </w:r>
      <w:r w:rsidR="00A94AAB" w:rsidRPr="00C97D84">
        <w:rPr>
          <w:rFonts w:ascii="Calibri" w:hAnsi="Calibri" w:cs="Calibri"/>
        </w:rPr>
        <w:t xml:space="preserve">also required to follow state and local procurement law and policies, as well as the additional requirements stated in 2 </w:t>
      </w:r>
      <w:r w:rsidR="00C821F6">
        <w:rPr>
          <w:rFonts w:ascii="Calibri" w:hAnsi="Calibri" w:cs="Calibri"/>
        </w:rPr>
        <w:t>C.F.R.</w:t>
      </w:r>
      <w:r w:rsidR="00A94AAB" w:rsidRPr="00C97D84">
        <w:rPr>
          <w:rFonts w:ascii="Calibri" w:hAnsi="Calibri" w:cs="Calibri"/>
        </w:rPr>
        <w:t xml:space="preserve"> Part 200. </w:t>
      </w:r>
    </w:p>
    <w:p w14:paraId="7ED76F25" w14:textId="77777777" w:rsidR="00A94AAB" w:rsidRPr="00C97D84" w:rsidRDefault="00A94AAB" w:rsidP="000307CA">
      <w:pPr>
        <w:pStyle w:val="NormalWeb"/>
        <w:spacing w:before="0" w:beforeAutospacing="0" w:after="0" w:afterAutospacing="0"/>
        <w:rPr>
          <w:rFonts w:ascii="Calibri" w:hAnsi="Calibri" w:cs="Calibri"/>
        </w:rPr>
      </w:pPr>
    </w:p>
    <w:p w14:paraId="29CFE2B1" w14:textId="7DFD2D61" w:rsidR="00A94AAB" w:rsidRPr="00C97D84" w:rsidRDefault="00A94AAB" w:rsidP="000307CA">
      <w:pPr>
        <w:pStyle w:val="NormalWeb"/>
        <w:spacing w:before="0" w:beforeAutospacing="0" w:after="0" w:afterAutospacing="0"/>
        <w:rPr>
          <w:rFonts w:ascii="Calibri" w:hAnsi="Calibri" w:cs="Calibri"/>
        </w:rPr>
      </w:pPr>
      <w:r w:rsidRPr="00C97D84">
        <w:rPr>
          <w:rFonts w:ascii="Calibri" w:hAnsi="Calibri" w:cs="Calibri"/>
        </w:rPr>
        <w:t xml:space="preserve">Additionally, the City’s Strategic Procurement Division </w:t>
      </w:r>
      <w:r w:rsidR="00394E25">
        <w:rPr>
          <w:rFonts w:ascii="Calibri" w:hAnsi="Calibri" w:cs="Calibri"/>
        </w:rPr>
        <w:t xml:space="preserve">(“SPD”) </w:t>
      </w:r>
      <w:r w:rsidRPr="00C97D84">
        <w:rPr>
          <w:rFonts w:ascii="Calibri" w:hAnsi="Calibri" w:cs="Calibri"/>
        </w:rPr>
        <w:t>may review draft solicitations or responses prior to award for compliance with applicable city, state and federal rules and regulations.</w:t>
      </w:r>
      <w:r>
        <w:rPr>
          <w:rFonts w:ascii="Calibri" w:hAnsi="Calibri" w:cs="Calibri"/>
        </w:rPr>
        <w:t xml:space="preserve"> </w:t>
      </w:r>
      <w:r w:rsidR="009D2B46">
        <w:rPr>
          <w:rFonts w:ascii="Calibri" w:hAnsi="Calibri" w:cs="Calibri"/>
        </w:rPr>
        <w:t>T</w:t>
      </w:r>
      <w:r w:rsidRPr="00C97D84">
        <w:rPr>
          <w:rFonts w:ascii="Calibri" w:hAnsi="Calibri" w:cs="Calibri"/>
        </w:rPr>
        <w:t xml:space="preserve">he City </w:t>
      </w:r>
      <w:r w:rsidR="009D2B46">
        <w:rPr>
          <w:rFonts w:ascii="Calibri" w:hAnsi="Calibri" w:cs="Calibri"/>
        </w:rPr>
        <w:t xml:space="preserve">will </w:t>
      </w:r>
      <w:r w:rsidRPr="00C97D84">
        <w:rPr>
          <w:rFonts w:ascii="Calibri" w:hAnsi="Calibri" w:cs="Calibri"/>
        </w:rPr>
        <w:t xml:space="preserve">clearly identify during the procurement process any items included in the bid/purchase that are not included in the CDBG-DR contract. </w:t>
      </w:r>
    </w:p>
    <w:p w14:paraId="27386AB5" w14:textId="77777777" w:rsidR="00A94AAB" w:rsidRPr="00C97D84" w:rsidRDefault="00A94AAB" w:rsidP="000307CA">
      <w:pPr>
        <w:pStyle w:val="NormalWeb"/>
        <w:spacing w:before="0" w:beforeAutospacing="0" w:after="0" w:afterAutospacing="0"/>
        <w:rPr>
          <w:rFonts w:ascii="Calibri" w:hAnsi="Calibri" w:cs="Calibri"/>
        </w:rPr>
      </w:pPr>
    </w:p>
    <w:p w14:paraId="3A626364" w14:textId="48BB88A9" w:rsidR="00A94AAB" w:rsidRDefault="00A94AAB" w:rsidP="000307CA">
      <w:pPr>
        <w:pStyle w:val="NormalWeb"/>
        <w:spacing w:before="0" w:beforeAutospacing="0" w:after="0" w:afterAutospacing="0"/>
        <w:rPr>
          <w:rFonts w:ascii="Calibri" w:hAnsi="Calibri" w:cs="Calibri"/>
        </w:rPr>
      </w:pPr>
      <w:r w:rsidRPr="00C97D84">
        <w:rPr>
          <w:rFonts w:ascii="Calibri" w:hAnsi="Calibri" w:cs="Calibri"/>
        </w:rPr>
        <w:t xml:space="preserve">Regardless of the type of procurement used, the City </w:t>
      </w:r>
      <w:r w:rsidR="009D2B46">
        <w:rPr>
          <w:rFonts w:ascii="Calibri" w:hAnsi="Calibri" w:cs="Calibri"/>
        </w:rPr>
        <w:t>shall</w:t>
      </w:r>
      <w:r w:rsidR="009D2B46" w:rsidRPr="00C97D84">
        <w:rPr>
          <w:rFonts w:ascii="Calibri" w:hAnsi="Calibri" w:cs="Calibri"/>
        </w:rPr>
        <w:t xml:space="preserve"> </w:t>
      </w:r>
      <w:r w:rsidRPr="00C97D84">
        <w:rPr>
          <w:rFonts w:ascii="Calibri" w:hAnsi="Calibri" w:cs="Calibri"/>
        </w:rPr>
        <w:t>execute a contract to document the period of performance, the work to be completed, the agreed price, and contractor or provider’s required compliance with all applicable federal, state, and local requirements that the City must follow.</w:t>
      </w:r>
      <w:r>
        <w:rPr>
          <w:rFonts w:ascii="Calibri" w:hAnsi="Calibri" w:cs="Calibri"/>
        </w:rPr>
        <w:t xml:space="preserve"> </w:t>
      </w:r>
      <w:r w:rsidRPr="00C97D84">
        <w:rPr>
          <w:rFonts w:ascii="Calibri" w:hAnsi="Calibri" w:cs="Calibri"/>
        </w:rPr>
        <w:t xml:space="preserve">If there is a conflict between federal, state, and local laws and regulations regarding procurement, the more stringent law or regulation will apply. </w:t>
      </w:r>
    </w:p>
    <w:p w14:paraId="6B8BD1A9" w14:textId="77777777" w:rsidR="00A94AAB" w:rsidRPr="00C97D84" w:rsidRDefault="00A94AAB" w:rsidP="000307CA">
      <w:pPr>
        <w:pStyle w:val="NormalWeb"/>
        <w:spacing w:before="0" w:beforeAutospacing="0" w:after="0" w:afterAutospacing="0"/>
        <w:rPr>
          <w:rFonts w:ascii="Calibri" w:hAnsi="Calibri" w:cs="Calibri"/>
        </w:rPr>
      </w:pPr>
    </w:p>
    <w:p w14:paraId="6DF73488" w14:textId="4856C9CA" w:rsidR="00A94AAB" w:rsidRPr="00C97D84" w:rsidRDefault="00A94AAB" w:rsidP="000307CA">
      <w:pPr>
        <w:pStyle w:val="NormalWeb"/>
        <w:spacing w:before="0" w:beforeAutospacing="0" w:after="0" w:afterAutospacing="0"/>
        <w:rPr>
          <w:rFonts w:ascii="Calibri" w:hAnsi="Calibri" w:cs="Calibri"/>
        </w:rPr>
      </w:pPr>
      <w:r w:rsidRPr="00C97D84">
        <w:rPr>
          <w:rFonts w:ascii="Calibri" w:hAnsi="Calibri" w:cs="Calibri"/>
        </w:rPr>
        <w:t>Additionally, vendors and contractors are required to achieve compliance with Section 3</w:t>
      </w:r>
      <w:r w:rsidR="00394E25">
        <w:rPr>
          <w:rFonts w:ascii="Calibri" w:hAnsi="Calibri" w:cs="Calibri"/>
        </w:rPr>
        <w:t xml:space="preserve"> of the Housing and Urban Development Act of 1968</w:t>
      </w:r>
      <w:r w:rsidR="00D20A2B">
        <w:rPr>
          <w:rFonts w:ascii="Calibri" w:hAnsi="Calibri" w:cs="Calibri"/>
        </w:rPr>
        <w:t>,</w:t>
      </w:r>
      <w:r w:rsidR="00394E25">
        <w:rPr>
          <w:rFonts w:ascii="Calibri" w:hAnsi="Calibri" w:cs="Calibri"/>
        </w:rPr>
        <w:t xml:space="preserve"> Pub. L. 90-448, 82 Stat. 476 </w:t>
      </w:r>
      <w:r w:rsidR="00D20A2B">
        <w:rPr>
          <w:rFonts w:ascii="Calibri" w:hAnsi="Calibri" w:cs="Calibri"/>
        </w:rPr>
        <w:t xml:space="preserve">(codified as amended at 12 U.S.C. § 1701u) </w:t>
      </w:r>
      <w:r w:rsidR="00394E25">
        <w:rPr>
          <w:rFonts w:ascii="Calibri" w:hAnsi="Calibri" w:cs="Calibri"/>
        </w:rPr>
        <w:t xml:space="preserve">and the appurtenant regulations at </w:t>
      </w:r>
      <w:r w:rsidRPr="00C97D84">
        <w:rPr>
          <w:rFonts w:ascii="Calibri" w:hAnsi="Calibri" w:cs="Calibri"/>
        </w:rPr>
        <w:t xml:space="preserve">24 </w:t>
      </w:r>
      <w:r w:rsidR="00C821F6">
        <w:rPr>
          <w:rFonts w:ascii="Calibri" w:hAnsi="Calibri" w:cs="Calibri"/>
        </w:rPr>
        <w:t>C.F.R.</w:t>
      </w:r>
      <w:r w:rsidRPr="00C97D84">
        <w:rPr>
          <w:rFonts w:ascii="Calibri" w:hAnsi="Calibri" w:cs="Calibri"/>
        </w:rPr>
        <w:t xml:space="preserve"> Part 135</w:t>
      </w:r>
      <w:r w:rsidR="00D20A2B">
        <w:rPr>
          <w:rFonts w:ascii="Calibri" w:hAnsi="Calibri" w:cs="Calibri"/>
        </w:rPr>
        <w:t xml:space="preserve"> (collectively, “Section 3”)</w:t>
      </w:r>
      <w:r w:rsidRPr="00C97D84">
        <w:rPr>
          <w:rFonts w:ascii="Calibri" w:hAnsi="Calibri" w:cs="Calibri"/>
        </w:rPr>
        <w:t>.</w:t>
      </w:r>
      <w:r>
        <w:rPr>
          <w:rFonts w:ascii="Calibri" w:hAnsi="Calibri" w:cs="Calibri"/>
        </w:rPr>
        <w:t xml:space="preserve"> </w:t>
      </w:r>
      <w:r w:rsidR="00394E25">
        <w:rPr>
          <w:rFonts w:ascii="Calibri" w:hAnsi="Calibri" w:cs="Calibri"/>
        </w:rPr>
        <w:t>The City strongly recommends</w:t>
      </w:r>
      <w:r w:rsidR="009B33A7" w:rsidRPr="00C97D84">
        <w:rPr>
          <w:rFonts w:ascii="Calibri" w:hAnsi="Calibri" w:cs="Calibri"/>
        </w:rPr>
        <w:t xml:space="preserve"> that HUD’s best practices be utilized to help achieve compliance (HUD Model Section 3 Plan), including creating a Section 3 Plan.</w:t>
      </w:r>
      <w:r w:rsidR="009B33A7">
        <w:rPr>
          <w:rFonts w:ascii="Calibri" w:hAnsi="Calibri" w:cs="Calibri"/>
        </w:rPr>
        <w:t xml:space="preserve"> </w:t>
      </w:r>
      <w:r>
        <w:rPr>
          <w:rFonts w:ascii="Calibri" w:hAnsi="Calibri" w:cs="Calibri"/>
        </w:rPr>
        <w:t xml:space="preserve"> </w:t>
      </w:r>
      <w:r w:rsidR="00394E25">
        <w:rPr>
          <w:rFonts w:ascii="Calibri" w:hAnsi="Calibri" w:cs="Calibri"/>
        </w:rPr>
        <w:t xml:space="preserve">The City </w:t>
      </w:r>
      <w:r w:rsidR="009D2B46">
        <w:rPr>
          <w:rFonts w:ascii="Calibri" w:hAnsi="Calibri" w:cs="Calibri"/>
        </w:rPr>
        <w:t xml:space="preserve">is </w:t>
      </w:r>
      <w:r w:rsidRPr="00C97D84">
        <w:rPr>
          <w:rFonts w:ascii="Calibri" w:hAnsi="Calibri" w:cs="Calibri"/>
        </w:rPr>
        <w:t xml:space="preserve"> also required to “take all necessary affirmative steps to assure that minority businesses, women’s business enterprises, and labor surplus area firms are used when possible.” (</w:t>
      </w:r>
      <w:r w:rsidR="00C821F6">
        <w:rPr>
          <w:rFonts w:ascii="Calibri" w:hAnsi="Calibri" w:cs="Calibri"/>
        </w:rPr>
        <w:t>2</w:t>
      </w:r>
      <w:r w:rsidR="00C821F6" w:rsidRPr="00C97D84">
        <w:rPr>
          <w:rFonts w:ascii="Calibri" w:hAnsi="Calibri" w:cs="Calibri"/>
        </w:rPr>
        <w:t xml:space="preserve"> </w:t>
      </w:r>
      <w:r w:rsidR="00C821F6">
        <w:rPr>
          <w:rFonts w:ascii="Calibri" w:hAnsi="Calibri" w:cs="Calibri"/>
        </w:rPr>
        <w:t>C.F.R.</w:t>
      </w:r>
      <w:r w:rsidR="00394E25">
        <w:rPr>
          <w:rFonts w:ascii="Calibri" w:hAnsi="Calibri" w:cs="Calibri"/>
        </w:rPr>
        <w:t xml:space="preserve"> §</w:t>
      </w:r>
      <w:r w:rsidRPr="00C97D84">
        <w:rPr>
          <w:rFonts w:ascii="Calibri" w:hAnsi="Calibri" w:cs="Calibri"/>
        </w:rPr>
        <w:t xml:space="preserve"> 200.321). </w:t>
      </w:r>
    </w:p>
    <w:p w14:paraId="3FA7343A" w14:textId="77777777" w:rsidR="00A94AAB" w:rsidRPr="00C97D84" w:rsidRDefault="00A94AAB" w:rsidP="000307CA">
      <w:pPr>
        <w:pStyle w:val="NormalWeb"/>
        <w:spacing w:before="0" w:beforeAutospacing="0" w:after="0" w:afterAutospacing="0"/>
        <w:rPr>
          <w:rFonts w:ascii="Calibri" w:hAnsi="Calibri" w:cs="Calibri"/>
        </w:rPr>
      </w:pPr>
    </w:p>
    <w:p w14:paraId="58EE178F" w14:textId="3D11FCD1" w:rsidR="00357678" w:rsidRDefault="00A94AAB" w:rsidP="00357678">
      <w:pPr>
        <w:spacing w:after="0" w:line="240" w:lineRule="auto"/>
        <w:rPr>
          <w:rFonts w:ascii="Calibri" w:hAnsi="Calibri"/>
          <w:sz w:val="24"/>
          <w:szCs w:val="24"/>
        </w:rPr>
      </w:pPr>
      <w:r w:rsidRPr="00C97D84">
        <w:rPr>
          <w:rFonts w:ascii="Calibri" w:hAnsi="Calibri"/>
          <w:sz w:val="24"/>
          <w:szCs w:val="24"/>
        </w:rPr>
        <w:t xml:space="preserve">Furthermore, HUD and GLO require the City maintain a comprehensive public website that provides information for individuals and entities awaiting assistance for </w:t>
      </w:r>
      <w:r w:rsidR="00701DA0">
        <w:rPr>
          <w:rFonts w:ascii="Calibri" w:hAnsi="Calibri"/>
          <w:sz w:val="24"/>
          <w:szCs w:val="24"/>
        </w:rPr>
        <w:t>flood-</w:t>
      </w:r>
      <w:r w:rsidRPr="00C97D84">
        <w:rPr>
          <w:rFonts w:ascii="Calibri" w:hAnsi="Calibri"/>
          <w:sz w:val="24"/>
          <w:szCs w:val="24"/>
        </w:rPr>
        <w:t xml:space="preserve">related damage, and the general </w:t>
      </w:r>
      <w:r w:rsidRPr="00C97D84">
        <w:rPr>
          <w:rFonts w:ascii="Calibri" w:hAnsi="Calibri"/>
          <w:sz w:val="24"/>
          <w:szCs w:val="24"/>
        </w:rPr>
        <w:lastRenderedPageBreak/>
        <w:t>public to see how all grant funds are used and managed/administered.</w:t>
      </w:r>
      <w:r>
        <w:rPr>
          <w:rFonts w:ascii="Calibri" w:hAnsi="Calibri"/>
          <w:sz w:val="24"/>
          <w:szCs w:val="24"/>
        </w:rPr>
        <w:t xml:space="preserve"> </w:t>
      </w:r>
      <w:r w:rsidRPr="00C97D84">
        <w:rPr>
          <w:rFonts w:ascii="Calibri" w:hAnsi="Calibri"/>
          <w:sz w:val="24"/>
          <w:szCs w:val="24"/>
        </w:rPr>
        <w:t xml:space="preserve">To meet this requirement, the City </w:t>
      </w:r>
      <w:r w:rsidR="009D2B46">
        <w:rPr>
          <w:rFonts w:ascii="Calibri" w:hAnsi="Calibri"/>
          <w:sz w:val="24"/>
          <w:szCs w:val="24"/>
        </w:rPr>
        <w:t>shall</w:t>
      </w:r>
      <w:r w:rsidRPr="00C97D84">
        <w:rPr>
          <w:rFonts w:ascii="Calibri" w:hAnsi="Calibri"/>
          <w:sz w:val="24"/>
          <w:szCs w:val="24"/>
        </w:rPr>
        <w:t xml:space="preserve"> make the following applicable items available to post on City’s website</w:t>
      </w:r>
      <w:r w:rsidR="009D2B46">
        <w:rPr>
          <w:rFonts w:ascii="Calibri" w:hAnsi="Calibri"/>
          <w:sz w:val="24"/>
          <w:szCs w:val="24"/>
        </w:rPr>
        <w:t>:</w:t>
      </w:r>
      <w:r>
        <w:rPr>
          <w:rFonts w:ascii="Calibri" w:hAnsi="Calibri"/>
          <w:sz w:val="24"/>
          <w:szCs w:val="24"/>
        </w:rPr>
        <w:t xml:space="preserve"> </w:t>
      </w:r>
      <w:r w:rsidRPr="00C97D84">
        <w:rPr>
          <w:rFonts w:ascii="Calibri" w:hAnsi="Calibri"/>
          <w:sz w:val="24"/>
          <w:szCs w:val="24"/>
        </w:rPr>
        <w:t xml:space="preserve">procurement policies and procedures; description of services or goods currently being procured; state administrative contracts and a summary of all procured contracts (as defined </w:t>
      </w:r>
      <w:r w:rsidR="00C821F6">
        <w:rPr>
          <w:rFonts w:ascii="Calibri" w:hAnsi="Calibri"/>
          <w:sz w:val="24"/>
          <w:szCs w:val="24"/>
        </w:rPr>
        <w:t>at</w:t>
      </w:r>
      <w:r w:rsidRPr="00C97D84">
        <w:rPr>
          <w:rFonts w:ascii="Calibri" w:hAnsi="Calibri"/>
          <w:sz w:val="24"/>
          <w:szCs w:val="24"/>
        </w:rPr>
        <w:t xml:space="preserve"> 2 </w:t>
      </w:r>
      <w:r w:rsidR="00C821F6">
        <w:rPr>
          <w:rFonts w:ascii="Calibri" w:hAnsi="Calibri"/>
          <w:sz w:val="24"/>
          <w:szCs w:val="24"/>
        </w:rPr>
        <w:t>C.F.R.</w:t>
      </w:r>
      <w:r w:rsidRPr="00C97D84">
        <w:rPr>
          <w:rFonts w:ascii="Calibri" w:hAnsi="Calibri"/>
          <w:sz w:val="24"/>
          <w:szCs w:val="24"/>
        </w:rPr>
        <w:t xml:space="preserve"> </w:t>
      </w:r>
      <w:r w:rsidR="00394E25">
        <w:rPr>
          <w:rFonts w:ascii="Calibri" w:hAnsi="Calibri" w:cs="Calibri"/>
          <w:sz w:val="24"/>
          <w:szCs w:val="24"/>
        </w:rPr>
        <w:t>§</w:t>
      </w:r>
      <w:r w:rsidR="00394E25">
        <w:rPr>
          <w:rFonts w:ascii="Calibri" w:hAnsi="Calibri"/>
          <w:sz w:val="24"/>
          <w:szCs w:val="24"/>
        </w:rPr>
        <w:t xml:space="preserve"> </w:t>
      </w:r>
      <w:r w:rsidRPr="00C97D84">
        <w:rPr>
          <w:rFonts w:ascii="Calibri" w:hAnsi="Calibri"/>
          <w:sz w:val="24"/>
          <w:szCs w:val="24"/>
        </w:rPr>
        <w:t xml:space="preserve">200.22), including those procured by the </w:t>
      </w:r>
      <w:r w:rsidR="00394E25">
        <w:rPr>
          <w:rFonts w:ascii="Calibri" w:hAnsi="Calibri"/>
          <w:sz w:val="24"/>
          <w:szCs w:val="24"/>
        </w:rPr>
        <w:t>C</w:t>
      </w:r>
      <w:r w:rsidRPr="00C97D84">
        <w:rPr>
          <w:rFonts w:ascii="Calibri" w:hAnsi="Calibri"/>
          <w:sz w:val="24"/>
          <w:szCs w:val="24"/>
        </w:rPr>
        <w:t>ity (e.g., a summary list of procurements, the phase of the procurement, details of ongoing procurement processes, requirements for proposals, etc.).</w:t>
      </w:r>
      <w:r>
        <w:rPr>
          <w:rFonts w:ascii="Calibri" w:hAnsi="Calibri"/>
          <w:sz w:val="24"/>
          <w:szCs w:val="24"/>
        </w:rPr>
        <w:t xml:space="preserve"> </w:t>
      </w:r>
      <w:r w:rsidRPr="00C97D84">
        <w:rPr>
          <w:rFonts w:ascii="Calibri" w:hAnsi="Calibri"/>
          <w:sz w:val="24"/>
          <w:szCs w:val="24"/>
        </w:rPr>
        <w:t>Updated summaries must also be posted monthly on the website. HUD will post guidance related to this requirement on the HUD Exchange website (</w:t>
      </w:r>
      <w:hyperlink r:id="rId12" w:history="1">
        <w:r w:rsidR="00D34D6A" w:rsidRPr="00A0623E">
          <w:rPr>
            <w:rStyle w:val="Hyperlink"/>
            <w:rFonts w:ascii="Calibri" w:hAnsi="Calibri"/>
            <w:sz w:val="24"/>
            <w:szCs w:val="24"/>
          </w:rPr>
          <w:t>www.hudexchange.info</w:t>
        </w:r>
      </w:hyperlink>
      <w:r w:rsidRPr="00C97D84">
        <w:rPr>
          <w:rFonts w:ascii="Calibri" w:hAnsi="Calibri"/>
          <w:sz w:val="24"/>
          <w:szCs w:val="24"/>
        </w:rPr>
        <w:t>).</w:t>
      </w:r>
    </w:p>
    <w:p w14:paraId="55DCD75B" w14:textId="77777777" w:rsidR="00357678" w:rsidRPr="00357678" w:rsidRDefault="00357678" w:rsidP="00357678">
      <w:pPr>
        <w:spacing w:after="0" w:line="240" w:lineRule="auto"/>
        <w:rPr>
          <w:rStyle w:val="IntenseReference"/>
          <w:rFonts w:ascii="Calibri" w:hAnsi="Calibri"/>
          <w:b w:val="0"/>
          <w:bCs w:val="0"/>
          <w:smallCaps w:val="0"/>
          <w:sz w:val="24"/>
          <w:szCs w:val="24"/>
        </w:rPr>
      </w:pPr>
    </w:p>
    <w:p w14:paraId="5A254998" w14:textId="42D210C7" w:rsidR="00A94AAB" w:rsidRPr="00C97D84" w:rsidRDefault="00A94AAB" w:rsidP="000307CA">
      <w:pPr>
        <w:pStyle w:val="Title"/>
        <w:spacing w:after="0"/>
        <w:outlineLvl w:val="0"/>
        <w:rPr>
          <w:rStyle w:val="IntenseReference"/>
          <w:rFonts w:ascii="Calibri" w:hAnsi="Calibri" w:cs="Calibri"/>
          <w:b w:val="0"/>
          <w:bCs w:val="0"/>
          <w:color w:val="0070C0"/>
          <w:sz w:val="36"/>
          <w:szCs w:val="36"/>
        </w:rPr>
      </w:pPr>
      <w:bookmarkStart w:id="35" w:name="_Toc8137186"/>
      <w:bookmarkStart w:id="36" w:name="_Toc22628987"/>
      <w:r w:rsidRPr="00C97D84">
        <w:rPr>
          <w:rStyle w:val="IntenseReference"/>
          <w:rFonts w:ascii="Calibri" w:hAnsi="Calibri" w:cs="Calibri"/>
          <w:b w:val="0"/>
          <w:bCs w:val="0"/>
          <w:color w:val="0070C0"/>
          <w:sz w:val="36"/>
          <w:szCs w:val="36"/>
        </w:rPr>
        <w:t>Financial Management</w:t>
      </w:r>
      <w:bookmarkEnd w:id="35"/>
      <w:bookmarkEnd w:id="36"/>
    </w:p>
    <w:p w14:paraId="6385327E" w14:textId="761CC21A" w:rsidR="00A94AAB" w:rsidRPr="00C97D84" w:rsidRDefault="00A94AAB" w:rsidP="000307CA">
      <w:pPr>
        <w:spacing w:after="0" w:line="240" w:lineRule="auto"/>
        <w:rPr>
          <w:rFonts w:ascii="Calibri" w:hAnsi="Calibri" w:cs="Calibri"/>
          <w:sz w:val="24"/>
          <w:szCs w:val="24"/>
        </w:rPr>
      </w:pPr>
      <w:r w:rsidRPr="00C97D84">
        <w:rPr>
          <w:rFonts w:ascii="Calibri" w:hAnsi="Calibri" w:cs="Calibri"/>
          <w:sz w:val="24"/>
          <w:szCs w:val="24"/>
        </w:rPr>
        <w:t>The City of Houston, as a CDBG-DR recipient, is required to follow the financial administration requirements outlined in</w:t>
      </w:r>
      <w:r w:rsidR="00BE29D9">
        <w:rPr>
          <w:rFonts w:ascii="Calibri" w:hAnsi="Calibri" w:cs="Calibri"/>
          <w:sz w:val="24"/>
          <w:szCs w:val="24"/>
        </w:rPr>
        <w:t xml:space="preserve"> </w:t>
      </w:r>
      <w:r w:rsidR="00BE29D9" w:rsidRPr="00BE29D9">
        <w:rPr>
          <w:rStyle w:val="Hyperlink"/>
          <w:rFonts w:ascii="Calibri" w:hAnsi="Calibri" w:cs="Calibri"/>
          <w:sz w:val="24"/>
          <w:szCs w:val="24"/>
        </w:rPr>
        <w:t xml:space="preserve">2 </w:t>
      </w:r>
      <w:r w:rsidR="00C821F6">
        <w:rPr>
          <w:rStyle w:val="Hyperlink"/>
          <w:rFonts w:ascii="Calibri" w:hAnsi="Calibri" w:cs="Calibri"/>
          <w:sz w:val="24"/>
          <w:szCs w:val="24"/>
        </w:rPr>
        <w:t>C.F.R. Part</w:t>
      </w:r>
      <w:r w:rsidR="00BE29D9" w:rsidRPr="00BE29D9">
        <w:rPr>
          <w:rStyle w:val="Hyperlink"/>
          <w:rFonts w:ascii="Calibri" w:hAnsi="Calibri" w:cs="Calibri"/>
          <w:sz w:val="24"/>
          <w:szCs w:val="24"/>
        </w:rPr>
        <w:t xml:space="preserve"> 200</w:t>
      </w:r>
      <w:r w:rsidR="00BE29D9">
        <w:rPr>
          <w:rStyle w:val="Hyperlink"/>
          <w:rFonts w:ascii="Calibri" w:hAnsi="Calibri" w:cs="Calibri"/>
          <w:sz w:val="24"/>
          <w:szCs w:val="24"/>
        </w:rPr>
        <w:t>.</w:t>
      </w:r>
      <w:r w:rsidRPr="00C97D84">
        <w:rPr>
          <w:rFonts w:ascii="Calibri" w:hAnsi="Calibri" w:cs="Calibri"/>
          <w:sz w:val="24"/>
          <w:szCs w:val="24"/>
        </w:rPr>
        <w:t xml:space="preserve"> </w:t>
      </w:r>
      <w:r w:rsidR="00BE29D9" w:rsidRPr="00BE29D9">
        <w:rPr>
          <w:rFonts w:ascii="Calibri" w:hAnsi="Calibri" w:cs="Calibri"/>
          <w:sz w:val="24"/>
          <w:szCs w:val="24"/>
        </w:rPr>
        <w:t>T</w:t>
      </w:r>
      <w:r w:rsidRPr="00C97D84">
        <w:rPr>
          <w:rFonts w:ascii="Calibri" w:hAnsi="Calibri" w:cs="Calibri"/>
          <w:sz w:val="24"/>
          <w:szCs w:val="24"/>
        </w:rPr>
        <w:t>hese standards help ensure that the financial systems put in place by the City:</w:t>
      </w:r>
    </w:p>
    <w:p w14:paraId="07EF09A8" w14:textId="77777777" w:rsidR="00A94AAB" w:rsidRPr="00C97D84" w:rsidRDefault="00A94AAB" w:rsidP="00E14863">
      <w:pPr>
        <w:pStyle w:val="ListParagraph"/>
        <w:numPr>
          <w:ilvl w:val="0"/>
          <w:numId w:val="5"/>
        </w:numPr>
        <w:spacing w:after="0" w:line="240" w:lineRule="auto"/>
        <w:contextualSpacing w:val="0"/>
        <w:rPr>
          <w:rFonts w:ascii="Calibri" w:hAnsi="Calibri" w:cs="Calibri"/>
          <w:sz w:val="24"/>
          <w:szCs w:val="24"/>
        </w:rPr>
      </w:pPr>
      <w:r w:rsidRPr="00C97D84">
        <w:rPr>
          <w:rFonts w:ascii="Calibri" w:hAnsi="Calibri" w:cs="Calibri"/>
          <w:sz w:val="24"/>
          <w:szCs w:val="24"/>
        </w:rPr>
        <w:t xml:space="preserve">Provide adequate, current, and complete disclosure of the financial results (regular financial reporting) of all financially assisted activities, in accordance with the financial reporting requirements of the grant. </w:t>
      </w:r>
    </w:p>
    <w:p w14:paraId="78522B80" w14:textId="77777777" w:rsidR="00A94AAB" w:rsidRPr="00C97D84" w:rsidRDefault="00A94AAB" w:rsidP="00E14863">
      <w:pPr>
        <w:pStyle w:val="ListParagraph"/>
        <w:numPr>
          <w:ilvl w:val="0"/>
          <w:numId w:val="5"/>
        </w:numPr>
        <w:spacing w:after="0" w:line="240" w:lineRule="auto"/>
        <w:contextualSpacing w:val="0"/>
        <w:rPr>
          <w:rFonts w:ascii="Calibri" w:hAnsi="Calibri" w:cs="Calibri"/>
          <w:sz w:val="24"/>
          <w:szCs w:val="24"/>
        </w:rPr>
      </w:pPr>
      <w:r w:rsidRPr="00C97D84">
        <w:rPr>
          <w:rFonts w:ascii="Calibri" w:hAnsi="Calibri" w:cs="Calibri"/>
          <w:sz w:val="24"/>
          <w:szCs w:val="24"/>
        </w:rPr>
        <w:t>Document that funds have been used only for authorized purposes.</w:t>
      </w:r>
      <w:r>
        <w:rPr>
          <w:rFonts w:ascii="Calibri" w:hAnsi="Calibri" w:cs="Calibri"/>
          <w:sz w:val="24"/>
          <w:szCs w:val="24"/>
        </w:rPr>
        <w:t xml:space="preserve"> </w:t>
      </w:r>
      <w:r w:rsidRPr="00C97D84">
        <w:rPr>
          <w:rFonts w:ascii="Calibri" w:hAnsi="Calibri" w:cs="Calibri"/>
          <w:sz w:val="24"/>
          <w:szCs w:val="24"/>
        </w:rPr>
        <w:t>For CDBG-DR this includes not only eligible activities but that the funded projects meet a National Objective;</w:t>
      </w:r>
    </w:p>
    <w:p w14:paraId="035BB38E" w14:textId="77777777" w:rsidR="00A94AAB" w:rsidRPr="00C97D84" w:rsidRDefault="00A94AAB" w:rsidP="00E14863">
      <w:pPr>
        <w:pStyle w:val="ListParagraph"/>
        <w:numPr>
          <w:ilvl w:val="0"/>
          <w:numId w:val="5"/>
        </w:numPr>
        <w:spacing w:after="0" w:line="240" w:lineRule="auto"/>
        <w:contextualSpacing w:val="0"/>
        <w:rPr>
          <w:rFonts w:ascii="Calibri" w:hAnsi="Calibri" w:cs="Calibri"/>
          <w:sz w:val="24"/>
          <w:szCs w:val="24"/>
        </w:rPr>
      </w:pPr>
      <w:r w:rsidRPr="00C97D84">
        <w:rPr>
          <w:rFonts w:ascii="Calibri" w:hAnsi="Calibri" w:cs="Calibri"/>
          <w:sz w:val="24"/>
          <w:szCs w:val="24"/>
        </w:rPr>
        <w:t>Maintain accounting records that show the sources and uses of funds, displaying funds authorized, obligated and unobligated balances, assets, liabilities, outlays or expenditures and income;</w:t>
      </w:r>
    </w:p>
    <w:p w14:paraId="70041158" w14:textId="77777777" w:rsidR="00A94AAB" w:rsidRPr="00C97D84" w:rsidRDefault="00A94AAB" w:rsidP="00E14863">
      <w:pPr>
        <w:pStyle w:val="ListParagraph"/>
        <w:numPr>
          <w:ilvl w:val="0"/>
          <w:numId w:val="5"/>
        </w:numPr>
        <w:spacing w:after="0" w:line="240" w:lineRule="auto"/>
        <w:contextualSpacing w:val="0"/>
        <w:rPr>
          <w:rFonts w:ascii="Calibri" w:hAnsi="Calibri" w:cs="Calibri"/>
          <w:sz w:val="24"/>
          <w:szCs w:val="24"/>
        </w:rPr>
      </w:pPr>
      <w:r w:rsidRPr="00C97D84">
        <w:rPr>
          <w:rFonts w:ascii="Calibri" w:hAnsi="Calibri" w:cs="Calibri"/>
          <w:sz w:val="24"/>
          <w:szCs w:val="24"/>
        </w:rPr>
        <w:t>Establish effective internal controls over all cash, real and personal property, and other assets acquired with program funds;</w:t>
      </w:r>
    </w:p>
    <w:p w14:paraId="671A571A" w14:textId="77777777" w:rsidR="00A94AAB" w:rsidRPr="00C97D84" w:rsidRDefault="00A94AAB" w:rsidP="00E14863">
      <w:pPr>
        <w:pStyle w:val="ListParagraph"/>
        <w:numPr>
          <w:ilvl w:val="0"/>
          <w:numId w:val="5"/>
        </w:numPr>
        <w:spacing w:after="0" w:line="240" w:lineRule="auto"/>
        <w:contextualSpacing w:val="0"/>
        <w:rPr>
          <w:rFonts w:ascii="Calibri" w:hAnsi="Calibri" w:cs="Calibri"/>
          <w:sz w:val="24"/>
          <w:szCs w:val="24"/>
        </w:rPr>
      </w:pPr>
      <w:r w:rsidRPr="00C97D84">
        <w:rPr>
          <w:rFonts w:ascii="Calibri" w:hAnsi="Calibri" w:cs="Calibri"/>
          <w:sz w:val="24"/>
          <w:szCs w:val="24"/>
        </w:rPr>
        <w:t>Track actual program cost against program budget in a manner that relates to program productivity and accomplishments;</w:t>
      </w:r>
    </w:p>
    <w:p w14:paraId="788C5D47" w14:textId="484F5A07" w:rsidR="00A94AAB" w:rsidRPr="00C97D84" w:rsidRDefault="00A94AAB" w:rsidP="00E14863">
      <w:pPr>
        <w:pStyle w:val="ListParagraph"/>
        <w:numPr>
          <w:ilvl w:val="0"/>
          <w:numId w:val="5"/>
        </w:numPr>
        <w:spacing w:after="0" w:line="240" w:lineRule="auto"/>
        <w:contextualSpacing w:val="0"/>
        <w:rPr>
          <w:rFonts w:ascii="Calibri" w:hAnsi="Calibri" w:cs="Calibri"/>
          <w:sz w:val="24"/>
          <w:szCs w:val="24"/>
        </w:rPr>
      </w:pPr>
      <w:r w:rsidRPr="00C97D84">
        <w:rPr>
          <w:rFonts w:ascii="Calibri" w:hAnsi="Calibri" w:cs="Calibri"/>
          <w:sz w:val="24"/>
          <w:szCs w:val="24"/>
        </w:rPr>
        <w:t xml:space="preserve">Use Uniform Administrative Requirements outlined in </w:t>
      </w:r>
      <w:hyperlink r:id="rId13" w:history="1">
        <w:r w:rsidRPr="00C97D84">
          <w:rPr>
            <w:rStyle w:val="Hyperlink"/>
            <w:rFonts w:ascii="Calibri" w:hAnsi="Calibri" w:cs="Calibri"/>
            <w:sz w:val="24"/>
            <w:szCs w:val="24"/>
          </w:rPr>
          <w:t xml:space="preserve">2 </w:t>
        </w:r>
        <w:r w:rsidR="00C821F6">
          <w:rPr>
            <w:rStyle w:val="Hyperlink"/>
            <w:rFonts w:ascii="Calibri" w:hAnsi="Calibri" w:cs="Calibri"/>
            <w:sz w:val="24"/>
            <w:szCs w:val="24"/>
          </w:rPr>
          <w:t>C.F.R.</w:t>
        </w:r>
        <w:r w:rsidRPr="00C97D84">
          <w:rPr>
            <w:rStyle w:val="Hyperlink"/>
            <w:rFonts w:ascii="Calibri" w:hAnsi="Calibri" w:cs="Calibri"/>
            <w:sz w:val="24"/>
            <w:szCs w:val="24"/>
          </w:rPr>
          <w:t xml:space="preserve"> </w:t>
        </w:r>
        <w:r w:rsidR="00C821F6">
          <w:rPr>
            <w:rStyle w:val="Hyperlink"/>
            <w:rFonts w:ascii="Calibri" w:hAnsi="Calibri" w:cs="Calibri"/>
            <w:sz w:val="24"/>
            <w:szCs w:val="24"/>
          </w:rPr>
          <w:t xml:space="preserve">Part </w:t>
        </w:r>
        <w:r w:rsidRPr="00C97D84">
          <w:rPr>
            <w:rStyle w:val="Hyperlink"/>
            <w:rFonts w:ascii="Calibri" w:hAnsi="Calibri" w:cs="Calibri"/>
            <w:sz w:val="24"/>
            <w:szCs w:val="24"/>
          </w:rPr>
          <w:t>200</w:t>
        </w:r>
      </w:hyperlink>
      <w:r w:rsidRPr="00C97D84">
        <w:rPr>
          <w:rFonts w:ascii="Calibri" w:hAnsi="Calibri" w:cs="Calibri"/>
          <w:sz w:val="24"/>
          <w:szCs w:val="24"/>
        </w:rPr>
        <w:t xml:space="preserve"> principles to determine whether program costs are reasonable, allowable, and can be allocated, either directly or indirectly;</w:t>
      </w:r>
    </w:p>
    <w:p w14:paraId="3BE36F05" w14:textId="77777777" w:rsidR="00A94AAB" w:rsidRPr="00C97D84" w:rsidRDefault="00A94AAB" w:rsidP="00E14863">
      <w:pPr>
        <w:pStyle w:val="ListParagraph"/>
        <w:numPr>
          <w:ilvl w:val="0"/>
          <w:numId w:val="5"/>
        </w:numPr>
        <w:spacing w:after="0" w:line="240" w:lineRule="auto"/>
        <w:contextualSpacing w:val="0"/>
        <w:rPr>
          <w:rFonts w:ascii="Calibri" w:hAnsi="Calibri" w:cs="Calibri"/>
          <w:sz w:val="24"/>
          <w:szCs w:val="24"/>
        </w:rPr>
      </w:pPr>
      <w:r w:rsidRPr="00C97D84">
        <w:rPr>
          <w:rFonts w:ascii="Calibri" w:hAnsi="Calibri" w:cs="Calibri"/>
          <w:sz w:val="24"/>
          <w:szCs w:val="24"/>
        </w:rPr>
        <w:t>Maintain source documentation for accounting records;</w:t>
      </w:r>
    </w:p>
    <w:p w14:paraId="1F26E0F8" w14:textId="273D9EAE" w:rsidR="00A94AAB" w:rsidRPr="00C97D84" w:rsidRDefault="00A94AAB" w:rsidP="00E14863">
      <w:pPr>
        <w:pStyle w:val="ListParagraph"/>
        <w:numPr>
          <w:ilvl w:val="0"/>
          <w:numId w:val="5"/>
        </w:numPr>
        <w:spacing w:after="0" w:line="240" w:lineRule="auto"/>
        <w:contextualSpacing w:val="0"/>
        <w:rPr>
          <w:rFonts w:ascii="Calibri" w:hAnsi="Calibri" w:cs="Calibri"/>
          <w:sz w:val="24"/>
          <w:szCs w:val="24"/>
        </w:rPr>
      </w:pPr>
      <w:r w:rsidRPr="00C97D84">
        <w:rPr>
          <w:rFonts w:ascii="Calibri" w:hAnsi="Calibri" w:cs="Calibri"/>
          <w:sz w:val="24"/>
          <w:szCs w:val="24"/>
        </w:rPr>
        <w:t>Implement procedures for cash management that permit the timely disbursement to applicants and complete and accurate monitoring and reporting; and</w:t>
      </w:r>
    </w:p>
    <w:p w14:paraId="31914EE1" w14:textId="01FD2E6A" w:rsidR="00A94AAB" w:rsidRPr="00C97D84" w:rsidRDefault="00A94AAB" w:rsidP="00E14863">
      <w:pPr>
        <w:pStyle w:val="ListParagraph"/>
        <w:numPr>
          <w:ilvl w:val="0"/>
          <w:numId w:val="5"/>
        </w:numPr>
        <w:spacing w:after="0" w:line="240" w:lineRule="auto"/>
        <w:contextualSpacing w:val="0"/>
        <w:rPr>
          <w:rFonts w:ascii="Calibri" w:hAnsi="Calibri" w:cs="Calibri"/>
          <w:sz w:val="24"/>
          <w:szCs w:val="24"/>
        </w:rPr>
      </w:pPr>
      <w:r w:rsidRPr="00C97D84">
        <w:rPr>
          <w:rFonts w:ascii="Calibri" w:hAnsi="Calibri" w:cs="Calibri"/>
          <w:sz w:val="24"/>
          <w:szCs w:val="24"/>
        </w:rPr>
        <w:t xml:space="preserve">Comply with </w:t>
      </w:r>
      <w:hyperlink r:id="rId14" w:history="1">
        <w:r w:rsidRPr="00C97D84">
          <w:rPr>
            <w:rStyle w:val="Hyperlink"/>
            <w:rFonts w:ascii="Calibri" w:eastAsia="Times New Roman" w:hAnsi="Calibri" w:cs="Calibri"/>
            <w:sz w:val="24"/>
            <w:szCs w:val="24"/>
          </w:rPr>
          <w:t xml:space="preserve">2 </w:t>
        </w:r>
        <w:r w:rsidR="00C821F6">
          <w:rPr>
            <w:rStyle w:val="Hyperlink"/>
            <w:rFonts w:ascii="Calibri" w:eastAsia="Times New Roman" w:hAnsi="Calibri" w:cs="Calibri"/>
            <w:sz w:val="24"/>
            <w:szCs w:val="24"/>
          </w:rPr>
          <w:t>C.F.R.</w:t>
        </w:r>
        <w:r w:rsidRPr="00C97D84">
          <w:rPr>
            <w:rStyle w:val="Hyperlink"/>
            <w:rFonts w:ascii="Calibri" w:eastAsia="Times New Roman" w:hAnsi="Calibri" w:cs="Calibri"/>
            <w:sz w:val="24"/>
            <w:szCs w:val="24"/>
          </w:rPr>
          <w:t xml:space="preserve"> 200</w:t>
        </w:r>
        <w:r w:rsidR="00C821F6">
          <w:rPr>
            <w:rStyle w:val="Hyperlink"/>
            <w:rFonts w:ascii="Calibri" w:eastAsia="Times New Roman" w:hAnsi="Calibri" w:cs="Calibri"/>
            <w:sz w:val="24"/>
            <w:szCs w:val="24"/>
          </w:rPr>
          <w:t>,</w:t>
        </w:r>
        <w:r w:rsidRPr="00C97D84">
          <w:rPr>
            <w:rStyle w:val="Hyperlink"/>
            <w:rFonts w:ascii="Calibri" w:eastAsia="Times New Roman" w:hAnsi="Calibri" w:cs="Calibri"/>
            <w:sz w:val="24"/>
            <w:szCs w:val="24"/>
          </w:rPr>
          <w:t xml:space="preserve"> Subpart F</w:t>
        </w:r>
      </w:hyperlink>
      <w:r w:rsidR="00C821F6">
        <w:rPr>
          <w:rStyle w:val="Hyperlink"/>
          <w:rFonts w:ascii="Calibri" w:eastAsia="Times New Roman" w:hAnsi="Calibri" w:cs="Calibri"/>
          <w:sz w:val="24"/>
          <w:szCs w:val="24"/>
        </w:rPr>
        <w:t>.</w:t>
      </w:r>
      <w:r w:rsidRPr="00C97D84">
        <w:rPr>
          <w:rFonts w:ascii="Calibri" w:eastAsia="Times New Roman" w:hAnsi="Calibri" w:cs="Calibri"/>
          <w:sz w:val="24"/>
          <w:szCs w:val="24"/>
        </w:rPr>
        <w:t xml:space="preserve"> </w:t>
      </w:r>
    </w:p>
    <w:p w14:paraId="2E8BDDD7" w14:textId="77777777" w:rsidR="00A94AAB" w:rsidRPr="00C97D84" w:rsidRDefault="00A94AAB" w:rsidP="000307CA">
      <w:pPr>
        <w:pStyle w:val="ListParagraph"/>
        <w:spacing w:after="0" w:line="240" w:lineRule="auto"/>
        <w:contextualSpacing w:val="0"/>
        <w:rPr>
          <w:rFonts w:ascii="Calibri" w:hAnsi="Calibri" w:cs="Calibri"/>
          <w:sz w:val="24"/>
          <w:szCs w:val="24"/>
        </w:rPr>
      </w:pPr>
    </w:p>
    <w:p w14:paraId="41B1814F" w14:textId="27FDCFB6" w:rsidR="00D34D6A" w:rsidRPr="00845031" w:rsidRDefault="00D34D6A" w:rsidP="000307CA">
      <w:pPr>
        <w:spacing w:after="0" w:line="240" w:lineRule="auto"/>
        <w:rPr>
          <w:rFonts w:ascii="Calibri" w:eastAsia="Times New Roman" w:hAnsi="Calibri" w:cs="Calibri"/>
          <w:sz w:val="24"/>
          <w:szCs w:val="24"/>
        </w:rPr>
      </w:pPr>
      <w:r w:rsidRPr="00845031">
        <w:rPr>
          <w:rFonts w:ascii="Calibri" w:eastAsia="Times New Roman" w:hAnsi="Calibri" w:cs="Calibri"/>
          <w:sz w:val="24"/>
          <w:szCs w:val="24"/>
        </w:rPr>
        <w:t xml:space="preserve">The roles and responsibilities described below are related to the financial management of the City of Houston’s CDBG-DR allocation </w:t>
      </w:r>
      <w:r w:rsidR="00012A1A" w:rsidRPr="00845031">
        <w:rPr>
          <w:rFonts w:ascii="Calibri" w:eastAsia="Times New Roman" w:hAnsi="Calibri" w:cs="Calibri"/>
          <w:sz w:val="24"/>
          <w:szCs w:val="24"/>
        </w:rPr>
        <w:t>for the 2016 flood events</w:t>
      </w:r>
      <w:r w:rsidRPr="00845031">
        <w:rPr>
          <w:rFonts w:ascii="Calibri" w:eastAsia="Times New Roman" w:hAnsi="Calibri" w:cs="Calibri"/>
          <w:sz w:val="24"/>
          <w:szCs w:val="24"/>
        </w:rPr>
        <w:t>. These descriptions are not intended to be an exhaustive list of activities performed by each entity in relation to the CDBG-DR grant or in general.</w:t>
      </w:r>
    </w:p>
    <w:p w14:paraId="7C20889B" w14:textId="77777777" w:rsidR="004E0BE6" w:rsidRPr="00D34D6A" w:rsidRDefault="004E0BE6" w:rsidP="000307CA">
      <w:pPr>
        <w:spacing w:after="0" w:line="240" w:lineRule="auto"/>
        <w:rPr>
          <w:rFonts w:ascii="Calibri" w:eastAsia="Times New Roman" w:hAnsi="Calibri" w:cs="Calibri"/>
        </w:rPr>
      </w:pPr>
    </w:p>
    <w:p w14:paraId="51BA9541" w14:textId="77777777" w:rsidR="00D34D6A" w:rsidRPr="00D34D6A" w:rsidRDefault="00D34D6A" w:rsidP="000307CA">
      <w:pPr>
        <w:pStyle w:val="Heading2"/>
        <w:spacing w:before="0" w:line="240" w:lineRule="auto"/>
        <w:rPr>
          <w:color w:val="5B9BD5" w:themeColor="accent5"/>
        </w:rPr>
      </w:pPr>
      <w:bookmarkStart w:id="37" w:name="_Toc8137187"/>
      <w:bookmarkStart w:id="38" w:name="_Toc22628988"/>
      <w:r w:rsidRPr="00D34D6A">
        <w:rPr>
          <w:color w:val="5B9BD5" w:themeColor="accent5"/>
        </w:rPr>
        <w:t>The City of Houston</w:t>
      </w:r>
      <w:bookmarkEnd w:id="37"/>
      <w:bookmarkEnd w:id="38"/>
      <w:r w:rsidRPr="00D34D6A">
        <w:rPr>
          <w:color w:val="5B9BD5" w:themeColor="accent5"/>
        </w:rPr>
        <w:t xml:space="preserve"> </w:t>
      </w:r>
    </w:p>
    <w:p w14:paraId="7DFCCB7B" w14:textId="7F3E168C" w:rsidR="00D34D6A" w:rsidRPr="00C97D84" w:rsidRDefault="00D34D6A" w:rsidP="00E14863">
      <w:pPr>
        <w:pStyle w:val="ListParagraph"/>
        <w:numPr>
          <w:ilvl w:val="0"/>
          <w:numId w:val="6"/>
        </w:numPr>
        <w:spacing w:after="0" w:line="240" w:lineRule="auto"/>
        <w:rPr>
          <w:rFonts w:ascii="Calibri" w:eastAsia="Times New Roman" w:hAnsi="Calibri" w:cs="Calibri"/>
          <w:sz w:val="24"/>
          <w:szCs w:val="24"/>
        </w:rPr>
      </w:pPr>
      <w:r w:rsidRPr="00C97D84">
        <w:rPr>
          <w:rFonts w:ascii="Calibri" w:eastAsia="Times New Roman" w:hAnsi="Calibri" w:cs="Calibri"/>
          <w:sz w:val="24"/>
          <w:szCs w:val="24"/>
        </w:rPr>
        <w:t xml:space="preserve">Finance Department – The Strategic Procurement Division </w:t>
      </w:r>
      <w:r w:rsidR="00E56875">
        <w:rPr>
          <w:rFonts w:ascii="Calibri" w:eastAsia="Times New Roman" w:hAnsi="Calibri" w:cs="Calibri"/>
          <w:sz w:val="24"/>
          <w:szCs w:val="24"/>
        </w:rPr>
        <w:t>(“</w:t>
      </w:r>
      <w:r w:rsidRPr="00C97D84">
        <w:rPr>
          <w:rFonts w:ascii="Calibri" w:eastAsia="Times New Roman" w:hAnsi="Calibri" w:cs="Calibri"/>
          <w:sz w:val="24"/>
          <w:szCs w:val="24"/>
        </w:rPr>
        <w:t>SPD</w:t>
      </w:r>
      <w:r w:rsidR="00845031">
        <w:rPr>
          <w:rFonts w:ascii="Calibri" w:eastAsia="Times New Roman" w:hAnsi="Calibri" w:cs="Calibri"/>
          <w:sz w:val="24"/>
          <w:szCs w:val="24"/>
        </w:rPr>
        <w:t>”</w:t>
      </w:r>
      <w:r w:rsidRPr="00C97D84">
        <w:rPr>
          <w:rFonts w:ascii="Calibri" w:eastAsia="Times New Roman" w:hAnsi="Calibri" w:cs="Calibri"/>
          <w:sz w:val="24"/>
          <w:szCs w:val="24"/>
        </w:rPr>
        <w:t xml:space="preserve">) is housed within the City of Houston’s Finance Department and is responsible for procuring goods and services for CDBG-DR funded activities. </w:t>
      </w:r>
    </w:p>
    <w:p w14:paraId="66172AF6" w14:textId="77777777" w:rsidR="00D34D6A" w:rsidRPr="00C97D84" w:rsidRDefault="00D34D6A" w:rsidP="000307CA">
      <w:pPr>
        <w:pStyle w:val="ListParagraph"/>
        <w:spacing w:after="0" w:line="240" w:lineRule="auto"/>
        <w:rPr>
          <w:rFonts w:ascii="Calibri" w:eastAsia="Times New Roman" w:hAnsi="Calibri" w:cs="Calibri"/>
          <w:sz w:val="24"/>
          <w:szCs w:val="24"/>
        </w:rPr>
      </w:pPr>
    </w:p>
    <w:p w14:paraId="21D8142F" w14:textId="26E66C52" w:rsidR="00D34D6A" w:rsidRPr="00C97D84" w:rsidRDefault="00D34D6A" w:rsidP="00E14863">
      <w:pPr>
        <w:pStyle w:val="ListParagraph"/>
        <w:numPr>
          <w:ilvl w:val="0"/>
          <w:numId w:val="6"/>
        </w:numPr>
        <w:spacing w:after="0" w:line="240" w:lineRule="auto"/>
        <w:rPr>
          <w:rFonts w:ascii="Calibri" w:eastAsia="Times New Roman" w:hAnsi="Calibri" w:cs="Calibri"/>
          <w:sz w:val="24"/>
          <w:szCs w:val="24"/>
        </w:rPr>
      </w:pPr>
      <w:r w:rsidRPr="00C97D84">
        <w:rPr>
          <w:rFonts w:ascii="Calibri" w:eastAsia="Times New Roman" w:hAnsi="Calibri" w:cs="Calibri"/>
          <w:sz w:val="24"/>
          <w:szCs w:val="24"/>
        </w:rPr>
        <w:lastRenderedPageBreak/>
        <w:t xml:space="preserve">The City Controller –The Office of the City Controller certifies the availability of funds prior to City Council approval of City commitments, processes and monitors disbursements, invests the City's funds, conducts internal audits of the City's departments and federal grant programs, operates and maintains its financial management system, conducts the sale of public improvement and revenue bonds and produces a comprehensive annual report of City finances - Comprehensive Annual Financial Report </w:t>
      </w:r>
      <w:r w:rsidR="00E56875">
        <w:rPr>
          <w:rFonts w:ascii="Calibri" w:eastAsia="Times New Roman" w:hAnsi="Calibri" w:cs="Calibri"/>
          <w:sz w:val="24"/>
          <w:szCs w:val="24"/>
        </w:rPr>
        <w:t>(“</w:t>
      </w:r>
      <w:r w:rsidRPr="00C97D84">
        <w:rPr>
          <w:rFonts w:ascii="Calibri" w:eastAsia="Times New Roman" w:hAnsi="Calibri" w:cs="Calibri"/>
          <w:sz w:val="24"/>
          <w:szCs w:val="24"/>
        </w:rPr>
        <w:t>CAFR</w:t>
      </w:r>
      <w:r w:rsidR="00394E25">
        <w:rPr>
          <w:rFonts w:ascii="Calibri" w:eastAsia="Times New Roman" w:hAnsi="Calibri" w:cs="Calibri"/>
          <w:sz w:val="24"/>
          <w:szCs w:val="24"/>
        </w:rPr>
        <w:t>”</w:t>
      </w:r>
      <w:r w:rsidRPr="00C97D84">
        <w:rPr>
          <w:rFonts w:ascii="Calibri" w:eastAsia="Times New Roman" w:hAnsi="Calibri" w:cs="Calibri"/>
          <w:sz w:val="24"/>
          <w:szCs w:val="24"/>
        </w:rPr>
        <w:t>).</w:t>
      </w:r>
      <w:r>
        <w:rPr>
          <w:rFonts w:ascii="Calibri" w:eastAsia="Times New Roman" w:hAnsi="Calibri" w:cs="Calibri"/>
          <w:sz w:val="24"/>
          <w:szCs w:val="24"/>
        </w:rPr>
        <w:t xml:space="preserve"> </w:t>
      </w:r>
      <w:r w:rsidRPr="00C97D84">
        <w:rPr>
          <w:rFonts w:ascii="Calibri" w:eastAsia="Times New Roman" w:hAnsi="Calibri" w:cs="Calibri"/>
          <w:sz w:val="24"/>
          <w:szCs w:val="24"/>
        </w:rPr>
        <w:t>The Controller will be responsible for providing a variety of approvals for release of CDBG-DR funds as payment to contractors and beneficiaries.</w:t>
      </w:r>
      <w:r>
        <w:rPr>
          <w:rFonts w:ascii="Calibri" w:eastAsia="Times New Roman" w:hAnsi="Calibri" w:cs="Calibri"/>
          <w:sz w:val="24"/>
          <w:szCs w:val="24"/>
        </w:rPr>
        <w:t xml:space="preserve"> </w:t>
      </w:r>
    </w:p>
    <w:p w14:paraId="798B095E" w14:textId="77777777" w:rsidR="00D34D6A" w:rsidRPr="00C97D84" w:rsidRDefault="00D34D6A" w:rsidP="000307CA">
      <w:pPr>
        <w:pStyle w:val="ListParagraph"/>
        <w:spacing w:after="0" w:line="240" w:lineRule="auto"/>
        <w:rPr>
          <w:rFonts w:ascii="Calibri" w:eastAsia="Times New Roman" w:hAnsi="Calibri" w:cs="Calibri"/>
          <w:sz w:val="24"/>
          <w:szCs w:val="24"/>
        </w:rPr>
      </w:pPr>
    </w:p>
    <w:p w14:paraId="65F34120" w14:textId="646297D6" w:rsidR="00D34D6A" w:rsidRPr="00C97D84" w:rsidRDefault="00D34D6A" w:rsidP="00E14863">
      <w:pPr>
        <w:pStyle w:val="ListParagraph"/>
        <w:numPr>
          <w:ilvl w:val="0"/>
          <w:numId w:val="6"/>
        </w:numPr>
        <w:spacing w:after="0" w:line="240" w:lineRule="auto"/>
        <w:rPr>
          <w:rFonts w:ascii="Calibri" w:eastAsia="Times New Roman" w:hAnsi="Calibri" w:cs="Calibri"/>
          <w:sz w:val="24"/>
          <w:szCs w:val="24"/>
        </w:rPr>
      </w:pPr>
      <w:r w:rsidRPr="00C97D84">
        <w:rPr>
          <w:rFonts w:ascii="Calibri" w:eastAsia="Times New Roman" w:hAnsi="Calibri" w:cs="Calibri"/>
          <w:sz w:val="24"/>
          <w:szCs w:val="24"/>
        </w:rPr>
        <w:t xml:space="preserve">Housing and Community Development Department </w:t>
      </w:r>
      <w:r w:rsidR="00E56875">
        <w:rPr>
          <w:rFonts w:ascii="Calibri" w:eastAsia="Times New Roman" w:hAnsi="Calibri" w:cs="Calibri"/>
          <w:sz w:val="24"/>
          <w:szCs w:val="24"/>
        </w:rPr>
        <w:t>(“</w:t>
      </w:r>
      <w:r w:rsidRPr="00C97D84">
        <w:rPr>
          <w:rFonts w:ascii="Calibri" w:eastAsia="Times New Roman" w:hAnsi="Calibri" w:cs="Calibri"/>
          <w:sz w:val="24"/>
          <w:szCs w:val="24"/>
        </w:rPr>
        <w:t>HCDD</w:t>
      </w:r>
      <w:r w:rsidR="00394E25">
        <w:rPr>
          <w:rFonts w:ascii="Calibri" w:eastAsia="Times New Roman" w:hAnsi="Calibri" w:cs="Calibri"/>
          <w:sz w:val="24"/>
          <w:szCs w:val="24"/>
        </w:rPr>
        <w:t>”</w:t>
      </w:r>
      <w:r w:rsidRPr="00C97D84">
        <w:rPr>
          <w:rFonts w:ascii="Calibri" w:eastAsia="Times New Roman" w:hAnsi="Calibri" w:cs="Calibri"/>
          <w:sz w:val="24"/>
          <w:szCs w:val="24"/>
        </w:rPr>
        <w:t>) – HCDD is the grant manager for Houston’s CDBG-DR allocation and responsible for administering all programs.</w:t>
      </w:r>
      <w:r>
        <w:rPr>
          <w:rFonts w:ascii="Calibri" w:eastAsia="Times New Roman" w:hAnsi="Calibri" w:cs="Calibri"/>
          <w:sz w:val="24"/>
          <w:szCs w:val="24"/>
        </w:rPr>
        <w:t xml:space="preserve"> </w:t>
      </w:r>
    </w:p>
    <w:p w14:paraId="40164AB5" w14:textId="68B1F139" w:rsidR="00D34D6A" w:rsidRPr="00C97D84" w:rsidRDefault="00B92A66" w:rsidP="00E14863">
      <w:pPr>
        <w:pStyle w:val="ListParagraph"/>
        <w:numPr>
          <w:ilvl w:val="1"/>
          <w:numId w:val="6"/>
        </w:numPr>
        <w:spacing w:after="0" w:line="240" w:lineRule="auto"/>
        <w:rPr>
          <w:rFonts w:ascii="Calibri" w:eastAsia="Times New Roman" w:hAnsi="Calibri" w:cs="Calibri"/>
          <w:sz w:val="24"/>
          <w:szCs w:val="24"/>
        </w:rPr>
      </w:pPr>
      <w:r>
        <w:rPr>
          <w:rFonts w:ascii="Calibri" w:eastAsia="Times New Roman" w:hAnsi="Calibri" w:cs="Calibri"/>
          <w:sz w:val="24"/>
          <w:szCs w:val="24"/>
        </w:rPr>
        <w:t>Public Facility</w:t>
      </w:r>
      <w:r w:rsidR="00D34D6A" w:rsidRPr="00C97D84">
        <w:rPr>
          <w:rFonts w:ascii="Calibri" w:eastAsia="Times New Roman" w:hAnsi="Calibri" w:cs="Calibri"/>
          <w:sz w:val="24"/>
          <w:szCs w:val="24"/>
        </w:rPr>
        <w:t xml:space="preserve"> Division: This division is responsible to select and underwrit</w:t>
      </w:r>
      <w:r>
        <w:rPr>
          <w:rFonts w:ascii="Calibri" w:eastAsia="Times New Roman" w:hAnsi="Calibri" w:cs="Calibri"/>
          <w:sz w:val="24"/>
          <w:szCs w:val="24"/>
        </w:rPr>
        <w:t xml:space="preserve">ing </w:t>
      </w:r>
      <w:r w:rsidR="00D34D6A" w:rsidRPr="00C97D84">
        <w:rPr>
          <w:rFonts w:ascii="Calibri" w:eastAsia="Times New Roman" w:hAnsi="Calibri" w:cs="Calibri"/>
          <w:sz w:val="24"/>
          <w:szCs w:val="24"/>
        </w:rPr>
        <w:t xml:space="preserve">developments and administer HCDD proceeds </w:t>
      </w:r>
      <w:r>
        <w:rPr>
          <w:rFonts w:ascii="Calibri" w:eastAsia="Times New Roman" w:hAnsi="Calibri" w:cs="Calibri"/>
          <w:sz w:val="24"/>
          <w:szCs w:val="24"/>
        </w:rPr>
        <w:t xml:space="preserve">after </w:t>
      </w:r>
      <w:r w:rsidR="00D34D6A" w:rsidRPr="00C97D84">
        <w:rPr>
          <w:rFonts w:ascii="Calibri" w:eastAsia="Times New Roman" w:hAnsi="Calibri" w:cs="Calibri"/>
          <w:sz w:val="24"/>
          <w:szCs w:val="24"/>
        </w:rPr>
        <w:t xml:space="preserve">the </w:t>
      </w:r>
      <w:r>
        <w:rPr>
          <w:rFonts w:ascii="Calibri" w:eastAsia="Times New Roman" w:hAnsi="Calibri" w:cs="Calibri"/>
          <w:sz w:val="24"/>
          <w:szCs w:val="24"/>
        </w:rPr>
        <w:t>demolition</w:t>
      </w:r>
      <w:r w:rsidR="00D34D6A" w:rsidRPr="00C97D84">
        <w:rPr>
          <w:rFonts w:ascii="Calibri" w:eastAsia="Times New Roman" w:hAnsi="Calibri" w:cs="Calibri"/>
          <w:sz w:val="24"/>
          <w:szCs w:val="24"/>
        </w:rPr>
        <w:t xml:space="preserve"> period</w:t>
      </w:r>
      <w:r w:rsidR="00D34D6A" w:rsidRPr="00C97D84">
        <w:rPr>
          <w:rFonts w:ascii="Calibri" w:hAnsi="Calibri"/>
          <w:sz w:val="24"/>
          <w:szCs w:val="24"/>
        </w:rPr>
        <w:t xml:space="preserve">. </w:t>
      </w:r>
    </w:p>
    <w:p w14:paraId="345089B6" w14:textId="1F082C3C" w:rsidR="00FD2C84" w:rsidRDefault="00D34D6A" w:rsidP="000307CA">
      <w:pPr>
        <w:pStyle w:val="ListParagraph"/>
        <w:numPr>
          <w:ilvl w:val="1"/>
          <w:numId w:val="6"/>
        </w:numPr>
        <w:spacing w:after="0" w:line="240" w:lineRule="auto"/>
        <w:rPr>
          <w:rFonts w:ascii="Calibri" w:eastAsia="Times New Roman" w:hAnsi="Calibri" w:cs="Calibri"/>
          <w:sz w:val="24"/>
          <w:szCs w:val="24"/>
        </w:rPr>
      </w:pPr>
      <w:r w:rsidRPr="00C97D84">
        <w:rPr>
          <w:rFonts w:ascii="Calibri" w:eastAsia="Times New Roman" w:hAnsi="Calibri" w:cs="Calibri"/>
          <w:sz w:val="24"/>
          <w:szCs w:val="24"/>
        </w:rPr>
        <w:t>Finance Division:</w:t>
      </w:r>
      <w:r>
        <w:rPr>
          <w:rFonts w:ascii="Calibri" w:eastAsia="Times New Roman" w:hAnsi="Calibri" w:cs="Calibri"/>
          <w:sz w:val="24"/>
          <w:szCs w:val="24"/>
        </w:rPr>
        <w:t xml:space="preserve"> </w:t>
      </w:r>
      <w:r w:rsidRPr="00C97D84">
        <w:rPr>
          <w:rFonts w:ascii="Calibri" w:eastAsia="Times New Roman" w:hAnsi="Calibri" w:cs="Calibri"/>
          <w:sz w:val="24"/>
          <w:szCs w:val="24"/>
        </w:rPr>
        <w:t xml:space="preserve">This division is responsible for processing CDBG-DR grant funding through the Systems Applications and Products </w:t>
      </w:r>
      <w:r w:rsidR="00E56875">
        <w:rPr>
          <w:rFonts w:ascii="Calibri" w:eastAsia="Times New Roman" w:hAnsi="Calibri" w:cs="Calibri"/>
          <w:sz w:val="24"/>
          <w:szCs w:val="24"/>
        </w:rPr>
        <w:t>(“</w:t>
      </w:r>
      <w:r w:rsidRPr="00C97D84">
        <w:rPr>
          <w:rFonts w:ascii="Calibri" w:eastAsia="Times New Roman" w:hAnsi="Calibri" w:cs="Calibri"/>
          <w:sz w:val="24"/>
          <w:szCs w:val="24"/>
        </w:rPr>
        <w:t>SAP</w:t>
      </w:r>
      <w:r w:rsidR="00394E25">
        <w:rPr>
          <w:rFonts w:ascii="Calibri" w:eastAsia="Times New Roman" w:hAnsi="Calibri" w:cs="Calibri"/>
          <w:sz w:val="24"/>
          <w:szCs w:val="24"/>
        </w:rPr>
        <w:t>”</w:t>
      </w:r>
      <w:r w:rsidRPr="00C97D84">
        <w:rPr>
          <w:rFonts w:ascii="Calibri" w:eastAsia="Times New Roman" w:hAnsi="Calibri" w:cs="Calibri"/>
          <w:sz w:val="24"/>
          <w:szCs w:val="24"/>
        </w:rPr>
        <w:t xml:space="preserve">), </w:t>
      </w:r>
      <w:r w:rsidR="00242F11">
        <w:rPr>
          <w:rFonts w:ascii="Calibri" w:eastAsia="Times New Roman" w:hAnsi="Calibri" w:cs="Calibri"/>
          <w:sz w:val="24"/>
          <w:szCs w:val="24"/>
        </w:rPr>
        <w:t xml:space="preserve">and </w:t>
      </w:r>
      <w:r w:rsidR="00E21746">
        <w:rPr>
          <w:rFonts w:ascii="Calibri" w:eastAsia="Times New Roman" w:hAnsi="Calibri" w:cs="Calibri"/>
          <w:sz w:val="24"/>
          <w:szCs w:val="24"/>
        </w:rPr>
        <w:t xml:space="preserve">reporting </w:t>
      </w:r>
      <w:r w:rsidR="00242F11">
        <w:rPr>
          <w:rFonts w:ascii="Calibri" w:eastAsia="Times New Roman" w:hAnsi="Calibri" w:cs="Calibri"/>
          <w:sz w:val="24"/>
          <w:szCs w:val="24"/>
        </w:rPr>
        <w:t>all required data into the</w:t>
      </w:r>
      <w:r w:rsidRPr="00C97D84">
        <w:rPr>
          <w:rFonts w:ascii="Calibri" w:eastAsia="Times New Roman" w:hAnsi="Calibri" w:cs="Calibri"/>
          <w:sz w:val="24"/>
          <w:szCs w:val="24"/>
        </w:rPr>
        <w:t xml:space="preserve"> </w:t>
      </w:r>
      <w:r w:rsidR="00242F11">
        <w:rPr>
          <w:rFonts w:ascii="Calibri" w:eastAsia="Times New Roman" w:hAnsi="Calibri" w:cs="Calibri"/>
          <w:sz w:val="24"/>
          <w:szCs w:val="24"/>
        </w:rPr>
        <w:t>GLO</w:t>
      </w:r>
      <w:r w:rsidRPr="00C97D84">
        <w:rPr>
          <w:rFonts w:ascii="Calibri" w:eastAsia="Times New Roman" w:hAnsi="Calibri" w:cs="Calibri"/>
          <w:sz w:val="24"/>
          <w:szCs w:val="24"/>
        </w:rPr>
        <w:t xml:space="preserve"> </w:t>
      </w:r>
      <w:r w:rsidR="00242F11">
        <w:rPr>
          <w:rFonts w:ascii="Calibri" w:eastAsia="Times New Roman" w:hAnsi="Calibri" w:cs="Calibri"/>
          <w:sz w:val="24"/>
          <w:szCs w:val="24"/>
        </w:rPr>
        <w:t>s</w:t>
      </w:r>
      <w:r w:rsidRPr="00C97D84">
        <w:rPr>
          <w:rFonts w:ascii="Calibri" w:eastAsia="Times New Roman" w:hAnsi="Calibri" w:cs="Calibri"/>
          <w:sz w:val="24"/>
          <w:szCs w:val="24"/>
        </w:rPr>
        <w:t>ystem</w:t>
      </w:r>
      <w:r w:rsidR="00242F11">
        <w:rPr>
          <w:rFonts w:ascii="Calibri" w:eastAsia="Times New Roman" w:hAnsi="Calibri" w:cs="Calibri"/>
          <w:sz w:val="24"/>
          <w:szCs w:val="24"/>
        </w:rPr>
        <w:t xml:space="preserve"> of record which, is the Texas Integrated Grant Reporting</w:t>
      </w:r>
      <w:r w:rsidRPr="00C97D84">
        <w:rPr>
          <w:rFonts w:ascii="Calibri" w:eastAsia="Times New Roman" w:hAnsi="Calibri" w:cs="Calibri"/>
          <w:sz w:val="24"/>
          <w:szCs w:val="24"/>
        </w:rPr>
        <w:t xml:space="preserve"> </w:t>
      </w:r>
      <w:r w:rsidR="00E56875">
        <w:rPr>
          <w:rFonts w:ascii="Calibri" w:eastAsia="Times New Roman" w:hAnsi="Calibri" w:cs="Calibri"/>
          <w:sz w:val="24"/>
          <w:szCs w:val="24"/>
        </w:rPr>
        <w:t>(“</w:t>
      </w:r>
      <w:r w:rsidR="00242F11">
        <w:rPr>
          <w:rFonts w:ascii="Calibri" w:eastAsia="Times New Roman" w:hAnsi="Calibri" w:cs="Calibri"/>
          <w:sz w:val="24"/>
          <w:szCs w:val="24"/>
        </w:rPr>
        <w:t>TIGR</w:t>
      </w:r>
      <w:r w:rsidR="00394E25">
        <w:rPr>
          <w:rFonts w:ascii="Calibri" w:eastAsia="Times New Roman" w:hAnsi="Calibri" w:cs="Calibri"/>
          <w:sz w:val="24"/>
          <w:szCs w:val="24"/>
        </w:rPr>
        <w:t>”</w:t>
      </w:r>
      <w:r w:rsidRPr="00C97D84">
        <w:rPr>
          <w:rFonts w:ascii="Calibri" w:eastAsia="Times New Roman" w:hAnsi="Calibri" w:cs="Calibri"/>
          <w:sz w:val="24"/>
          <w:szCs w:val="24"/>
        </w:rPr>
        <w:t>)</w:t>
      </w:r>
      <w:r w:rsidR="00242F11">
        <w:rPr>
          <w:rFonts w:ascii="Calibri" w:eastAsia="Times New Roman" w:hAnsi="Calibri" w:cs="Calibri"/>
          <w:sz w:val="24"/>
          <w:szCs w:val="24"/>
        </w:rPr>
        <w:t xml:space="preserve"> </w:t>
      </w:r>
      <w:r w:rsidRPr="00C97D84">
        <w:rPr>
          <w:rFonts w:ascii="Calibri" w:eastAsia="Times New Roman" w:hAnsi="Calibri" w:cs="Calibri"/>
          <w:sz w:val="24"/>
          <w:szCs w:val="24"/>
        </w:rPr>
        <w:t>System, and reconciling budgets and expenditures.</w:t>
      </w:r>
      <w:r>
        <w:rPr>
          <w:rFonts w:ascii="Calibri" w:eastAsia="Times New Roman" w:hAnsi="Calibri" w:cs="Calibri"/>
          <w:sz w:val="24"/>
          <w:szCs w:val="24"/>
        </w:rPr>
        <w:t xml:space="preserve"> </w:t>
      </w:r>
      <w:r w:rsidRPr="00C97D84">
        <w:rPr>
          <w:rFonts w:ascii="Calibri" w:eastAsia="Times New Roman" w:hAnsi="Calibri" w:cs="Calibri"/>
          <w:sz w:val="24"/>
          <w:szCs w:val="24"/>
        </w:rPr>
        <w:t>This division is also responsible for processing payment requests in SAP and federal reimbursement requests to the GLO to be realized in the City’s budget.</w:t>
      </w:r>
      <w:r>
        <w:rPr>
          <w:rFonts w:ascii="Calibri" w:eastAsia="Times New Roman" w:hAnsi="Calibri" w:cs="Calibri"/>
          <w:sz w:val="24"/>
          <w:szCs w:val="24"/>
        </w:rPr>
        <w:t xml:space="preserve"> </w:t>
      </w:r>
    </w:p>
    <w:p w14:paraId="440E0E0D" w14:textId="77777777" w:rsidR="00FD2C84" w:rsidRDefault="00FD2C84" w:rsidP="00FD2C84">
      <w:pPr>
        <w:pStyle w:val="ListParagraph"/>
        <w:spacing w:after="0" w:line="240" w:lineRule="auto"/>
        <w:ind w:left="1440"/>
        <w:rPr>
          <w:rFonts w:ascii="Calibri" w:eastAsia="Times New Roman" w:hAnsi="Calibri" w:cs="Calibri"/>
          <w:sz w:val="24"/>
          <w:szCs w:val="24"/>
        </w:rPr>
      </w:pPr>
    </w:p>
    <w:p w14:paraId="4D0A8F71" w14:textId="6946CCFF" w:rsidR="00D34D6A" w:rsidRPr="006460DD" w:rsidRDefault="00D34D6A" w:rsidP="006460DD">
      <w:pPr>
        <w:pStyle w:val="ListParagraph"/>
        <w:numPr>
          <w:ilvl w:val="0"/>
          <w:numId w:val="6"/>
        </w:numPr>
        <w:spacing w:after="0" w:line="240" w:lineRule="auto"/>
        <w:rPr>
          <w:rFonts w:ascii="Calibri" w:eastAsia="Times New Roman" w:hAnsi="Calibri" w:cs="Calibri"/>
          <w:sz w:val="24"/>
          <w:szCs w:val="24"/>
        </w:rPr>
      </w:pPr>
      <w:r w:rsidRPr="00FD2C84">
        <w:rPr>
          <w:rFonts w:ascii="Calibri" w:eastAsia="Times New Roman" w:hAnsi="Calibri" w:cs="Calibri"/>
          <w:sz w:val="24"/>
          <w:szCs w:val="24"/>
        </w:rPr>
        <w:t xml:space="preserve">Planning and Grants Management Division: This division is responsible for the City’s planning documents, substantial amendments, project/activity budget set-up and completion in </w:t>
      </w:r>
      <w:r w:rsidR="00E21746">
        <w:rPr>
          <w:rFonts w:ascii="Calibri" w:eastAsia="Times New Roman" w:hAnsi="Calibri" w:cs="Calibri"/>
          <w:sz w:val="24"/>
          <w:szCs w:val="24"/>
        </w:rPr>
        <w:t xml:space="preserve">TIGR </w:t>
      </w:r>
      <w:r w:rsidRPr="00FD2C84">
        <w:rPr>
          <w:rFonts w:ascii="Calibri" w:eastAsia="Times New Roman" w:hAnsi="Calibri" w:cs="Calibri"/>
          <w:sz w:val="24"/>
          <w:szCs w:val="24"/>
        </w:rPr>
        <w:t>and related reporting to HUD and GLO.</w:t>
      </w:r>
    </w:p>
    <w:p w14:paraId="12BE6E0C" w14:textId="77777777" w:rsidR="001C2E3A" w:rsidRPr="00D34D6A" w:rsidRDefault="001C2E3A" w:rsidP="000307CA">
      <w:pPr>
        <w:spacing w:after="0" w:line="240" w:lineRule="auto"/>
        <w:rPr>
          <w:rFonts w:ascii="Calibri" w:hAnsi="Calibri" w:cs="Calibri"/>
          <w:sz w:val="24"/>
          <w:szCs w:val="24"/>
        </w:rPr>
      </w:pPr>
    </w:p>
    <w:p w14:paraId="01341FAD" w14:textId="77777777" w:rsidR="00B92A66" w:rsidRPr="00C97D84" w:rsidRDefault="00B92A66" w:rsidP="000307CA">
      <w:pPr>
        <w:pStyle w:val="Title"/>
        <w:spacing w:after="0"/>
        <w:outlineLvl w:val="0"/>
        <w:rPr>
          <w:rStyle w:val="IntenseReference"/>
          <w:rFonts w:ascii="Calibri" w:hAnsi="Calibri" w:cs="Calibri"/>
          <w:b w:val="0"/>
          <w:bCs w:val="0"/>
          <w:color w:val="0070C0"/>
          <w:sz w:val="36"/>
          <w:szCs w:val="36"/>
        </w:rPr>
      </w:pPr>
      <w:bookmarkStart w:id="39" w:name="_Toc8137188"/>
      <w:bookmarkStart w:id="40" w:name="_Toc22628989"/>
      <w:r w:rsidRPr="00C97D84">
        <w:rPr>
          <w:rStyle w:val="IntenseReference"/>
          <w:rFonts w:ascii="Calibri" w:hAnsi="Calibri" w:cs="Calibri"/>
          <w:b w:val="0"/>
          <w:bCs w:val="0"/>
          <w:color w:val="0070C0"/>
          <w:sz w:val="36"/>
          <w:szCs w:val="36"/>
        </w:rPr>
        <w:t>Environmental</w:t>
      </w:r>
      <w:bookmarkEnd w:id="39"/>
      <w:bookmarkEnd w:id="40"/>
      <w:r w:rsidRPr="00C97D84">
        <w:rPr>
          <w:rStyle w:val="IntenseReference"/>
          <w:rFonts w:ascii="Calibri" w:hAnsi="Calibri" w:cs="Calibri"/>
          <w:b w:val="0"/>
          <w:bCs w:val="0"/>
          <w:color w:val="0070C0"/>
          <w:sz w:val="36"/>
          <w:szCs w:val="36"/>
        </w:rPr>
        <w:t xml:space="preserve"> </w:t>
      </w:r>
    </w:p>
    <w:p w14:paraId="47AFDED4" w14:textId="77777777" w:rsidR="00B92A66" w:rsidRDefault="00B92A66" w:rsidP="000307CA">
      <w:pPr>
        <w:spacing w:after="0" w:line="240" w:lineRule="auto"/>
        <w:rPr>
          <w:rFonts w:ascii="Calibri" w:hAnsi="Calibri" w:cs="Calibri"/>
          <w:color w:val="000000"/>
          <w:sz w:val="24"/>
        </w:rPr>
      </w:pPr>
      <w:r w:rsidRPr="00C97D84">
        <w:rPr>
          <w:rFonts w:ascii="Calibri" w:hAnsi="Calibri" w:cs="Calibri"/>
          <w:color w:val="000000"/>
          <w:sz w:val="24"/>
        </w:rPr>
        <w:t>An environmental review is the process of reviewing a project and its potential environmental impacts to determine whether it meets federal, state, and local environmental standards. The environmental review process is required for all HUD-assisted projects to ensure that the proposed project does not negatively impact the surrounding environment and that the property site itself will not have an adverse environmental or health effect on end users.</w:t>
      </w:r>
    </w:p>
    <w:p w14:paraId="41044096" w14:textId="77777777" w:rsidR="00B92A66" w:rsidRPr="00C97D84" w:rsidRDefault="00B92A66" w:rsidP="000307CA">
      <w:pPr>
        <w:spacing w:after="0" w:line="240" w:lineRule="auto"/>
        <w:rPr>
          <w:rFonts w:ascii="Calibri" w:hAnsi="Calibri" w:cs="Calibri"/>
          <w:color w:val="000000"/>
          <w:sz w:val="24"/>
        </w:rPr>
      </w:pPr>
    </w:p>
    <w:p w14:paraId="5B2E8A11" w14:textId="77777777" w:rsidR="00B92A66" w:rsidRDefault="00B92A66" w:rsidP="000307CA">
      <w:pPr>
        <w:spacing w:after="0" w:line="240" w:lineRule="auto"/>
        <w:rPr>
          <w:rFonts w:ascii="Calibri" w:hAnsi="Calibri" w:cs="Calibri"/>
          <w:color w:val="000000"/>
          <w:sz w:val="24"/>
        </w:rPr>
      </w:pPr>
      <w:r w:rsidRPr="00C97D84">
        <w:rPr>
          <w:rFonts w:ascii="Calibri" w:hAnsi="Calibri" w:cs="Calibri"/>
          <w:color w:val="000000"/>
          <w:sz w:val="24"/>
        </w:rPr>
        <w:t xml:space="preserve">All properties assisted under this Program will be subject to an Environmental Review by the City prior to </w:t>
      </w:r>
      <w:r>
        <w:rPr>
          <w:rFonts w:ascii="Calibri" w:hAnsi="Calibri" w:cs="Calibri"/>
          <w:color w:val="000000"/>
          <w:sz w:val="24"/>
        </w:rPr>
        <w:t xml:space="preserve">the creation of </w:t>
      </w:r>
      <w:r w:rsidRPr="00B92A66">
        <w:rPr>
          <w:rFonts w:ascii="Calibri" w:hAnsi="Calibri" w:cs="Calibri"/>
          <w:color w:val="000000"/>
          <w:sz w:val="24"/>
        </w:rPr>
        <w:t>open space, recreational, or floodplain and wetlands management practices</w:t>
      </w:r>
      <w:r w:rsidRPr="00C97D84">
        <w:rPr>
          <w:rFonts w:ascii="Calibri" w:hAnsi="Calibri" w:cs="Calibri"/>
          <w:color w:val="000000"/>
          <w:sz w:val="24"/>
        </w:rPr>
        <w:t>.</w:t>
      </w:r>
      <w:r>
        <w:rPr>
          <w:rFonts w:ascii="Calibri" w:hAnsi="Calibri" w:cs="Calibri"/>
          <w:color w:val="000000"/>
          <w:sz w:val="24"/>
        </w:rPr>
        <w:t xml:space="preserve"> </w:t>
      </w:r>
      <w:r w:rsidRPr="00C97D84">
        <w:rPr>
          <w:rFonts w:ascii="Calibri" w:hAnsi="Calibri" w:cs="Calibri"/>
          <w:color w:val="000000"/>
          <w:sz w:val="24"/>
        </w:rPr>
        <w:t xml:space="preserve">If the project passes the Environmental Review, the city will issue a </w:t>
      </w:r>
      <w:r>
        <w:rPr>
          <w:rFonts w:ascii="Calibri" w:hAnsi="Calibri" w:cs="Calibri"/>
          <w:color w:val="000000"/>
          <w:sz w:val="24"/>
        </w:rPr>
        <w:t>Letter of Intent</w:t>
      </w:r>
      <w:r w:rsidRPr="00C97D84">
        <w:rPr>
          <w:rFonts w:ascii="Calibri" w:hAnsi="Calibri" w:cs="Calibri"/>
          <w:color w:val="000000"/>
          <w:sz w:val="24"/>
        </w:rPr>
        <w:t>.</w:t>
      </w:r>
    </w:p>
    <w:p w14:paraId="23738445" w14:textId="77777777" w:rsidR="00B92A66" w:rsidRPr="00C97D84" w:rsidRDefault="00B92A66" w:rsidP="000307CA">
      <w:pPr>
        <w:spacing w:after="0" w:line="240" w:lineRule="auto"/>
        <w:rPr>
          <w:rFonts w:ascii="Calibri" w:hAnsi="Calibri" w:cs="Calibri"/>
          <w:color w:val="000000"/>
          <w:sz w:val="24"/>
        </w:rPr>
      </w:pPr>
    </w:p>
    <w:p w14:paraId="7C309D7A" w14:textId="4B1E667A" w:rsidR="00B92A66" w:rsidRPr="00C97D84" w:rsidRDefault="00B92A66" w:rsidP="000307CA">
      <w:pPr>
        <w:spacing w:after="0" w:line="240" w:lineRule="auto"/>
        <w:rPr>
          <w:rFonts w:ascii="Calibri" w:hAnsi="Calibri" w:cs="Calibri"/>
          <w:color w:val="000000"/>
          <w:sz w:val="24"/>
        </w:rPr>
      </w:pPr>
      <w:r w:rsidRPr="00C97D84">
        <w:rPr>
          <w:rFonts w:ascii="Calibri" w:hAnsi="Calibri" w:cs="Calibri"/>
          <w:color w:val="000000"/>
          <w:sz w:val="24"/>
        </w:rPr>
        <w:t xml:space="preserve">A commitment of funds can occur only upon satisfactory completion of an environmental review to determine whether the project meets federal, state, and local environmental standards, and receipt by the City of a release of funds from HUD under 24 </w:t>
      </w:r>
      <w:r w:rsidR="00C821F6">
        <w:rPr>
          <w:rFonts w:ascii="Calibri" w:hAnsi="Calibri" w:cs="Calibri"/>
          <w:color w:val="000000"/>
          <w:sz w:val="24"/>
        </w:rPr>
        <w:t>C.F.R.</w:t>
      </w:r>
      <w:r w:rsidRPr="00C97D84">
        <w:rPr>
          <w:rFonts w:ascii="Calibri" w:hAnsi="Calibri" w:cs="Calibri"/>
          <w:color w:val="000000"/>
          <w:sz w:val="24"/>
        </w:rPr>
        <w:t xml:space="preserve"> </w:t>
      </w:r>
      <w:r w:rsidR="00C821F6">
        <w:rPr>
          <w:rFonts w:ascii="Calibri" w:hAnsi="Calibri" w:cs="Calibri"/>
          <w:color w:val="000000"/>
          <w:sz w:val="24"/>
        </w:rPr>
        <w:t xml:space="preserve">§ </w:t>
      </w:r>
      <w:r w:rsidRPr="00C97D84">
        <w:rPr>
          <w:rFonts w:ascii="Calibri" w:hAnsi="Calibri" w:cs="Calibri"/>
          <w:color w:val="000000"/>
          <w:sz w:val="24"/>
        </w:rPr>
        <w:t>58.35(a) or 58.36.</w:t>
      </w:r>
      <w:r>
        <w:rPr>
          <w:rFonts w:ascii="Calibri" w:hAnsi="Calibri" w:cs="Calibri"/>
          <w:color w:val="000000"/>
          <w:sz w:val="24"/>
        </w:rPr>
        <w:t xml:space="preserve"> </w:t>
      </w:r>
      <w:r w:rsidRPr="00C97D84">
        <w:rPr>
          <w:rFonts w:ascii="Calibri" w:hAnsi="Calibri" w:cs="Calibri"/>
          <w:color w:val="000000"/>
          <w:sz w:val="24"/>
        </w:rPr>
        <w:t>Multi</w:t>
      </w:r>
      <w:r w:rsidR="00E12EE2">
        <w:rPr>
          <w:rFonts w:ascii="Calibri" w:hAnsi="Calibri" w:cs="Calibri"/>
          <w:color w:val="000000"/>
          <w:sz w:val="24"/>
        </w:rPr>
        <w:t>f</w:t>
      </w:r>
      <w:r w:rsidRPr="00C97D84">
        <w:rPr>
          <w:rFonts w:ascii="Calibri" w:hAnsi="Calibri" w:cs="Calibri"/>
          <w:color w:val="000000"/>
          <w:sz w:val="24"/>
        </w:rPr>
        <w:t>amily Developers must agree that the provision of any funds to their project(s) is conditioned on the HCDD’s determination to proceed with, modify or cancel the project based on the results of a subsequent environmental review.</w:t>
      </w:r>
      <w:r>
        <w:rPr>
          <w:rFonts w:ascii="Calibri" w:hAnsi="Calibri" w:cs="Calibri"/>
          <w:color w:val="000000"/>
          <w:sz w:val="24"/>
        </w:rPr>
        <w:t xml:space="preserve"> </w:t>
      </w:r>
      <w:r w:rsidRPr="00C97D84">
        <w:rPr>
          <w:rFonts w:ascii="Calibri" w:hAnsi="Calibri" w:cs="Calibri"/>
          <w:color w:val="000000"/>
          <w:sz w:val="24"/>
        </w:rPr>
        <w:t>In addition, the following regulations are applicable:</w:t>
      </w:r>
    </w:p>
    <w:p w14:paraId="7016598A" w14:textId="684E370D" w:rsidR="00B92A66" w:rsidRPr="007A3978" w:rsidRDefault="00B92A66" w:rsidP="00E14863">
      <w:pPr>
        <w:pStyle w:val="ListParagraph"/>
        <w:widowControl w:val="0"/>
        <w:numPr>
          <w:ilvl w:val="0"/>
          <w:numId w:val="10"/>
        </w:numPr>
        <w:spacing w:after="0" w:line="240" w:lineRule="auto"/>
        <w:rPr>
          <w:rFonts w:ascii="Calibri" w:hAnsi="Calibri" w:cs="Calibri"/>
          <w:color w:val="000000"/>
          <w:sz w:val="24"/>
        </w:rPr>
      </w:pPr>
      <w:r w:rsidRPr="00C97D84">
        <w:rPr>
          <w:rFonts w:ascii="Calibri" w:hAnsi="Calibri" w:cs="Calibri"/>
          <w:color w:val="000000"/>
          <w:sz w:val="24"/>
        </w:rPr>
        <w:t xml:space="preserve">Per 24 </w:t>
      </w:r>
      <w:r w:rsidR="00C821F6">
        <w:rPr>
          <w:rFonts w:ascii="Calibri" w:hAnsi="Calibri" w:cs="Calibri"/>
          <w:color w:val="000000"/>
          <w:sz w:val="24"/>
        </w:rPr>
        <w:t>C.F.R.</w:t>
      </w:r>
      <w:r w:rsidRPr="00C97D84">
        <w:rPr>
          <w:rFonts w:ascii="Calibri" w:hAnsi="Calibri" w:cs="Calibri"/>
          <w:color w:val="000000"/>
          <w:sz w:val="24"/>
        </w:rPr>
        <w:t xml:space="preserve"> </w:t>
      </w:r>
      <w:r w:rsidR="00C821F6">
        <w:rPr>
          <w:rFonts w:ascii="Calibri" w:hAnsi="Calibri" w:cs="Calibri"/>
          <w:color w:val="000000"/>
          <w:sz w:val="24"/>
        </w:rPr>
        <w:t xml:space="preserve">§ </w:t>
      </w:r>
      <w:r w:rsidRPr="00C97D84">
        <w:rPr>
          <w:rFonts w:ascii="Calibri" w:hAnsi="Calibri" w:cs="Calibri"/>
          <w:color w:val="000000"/>
          <w:sz w:val="24"/>
        </w:rPr>
        <w:t xml:space="preserve">58.5(i)(2)(i), it is HUD policy that all properties that are being proposed for use in HUD programs be free of hazardous materials, contamination, toxic chemicals and gases, and radioactive substances, where a hazard could affect the health and safety of occupants or </w:t>
      </w:r>
      <w:r w:rsidRPr="00C97D84">
        <w:rPr>
          <w:rFonts w:ascii="Calibri" w:hAnsi="Calibri" w:cs="Calibri"/>
          <w:color w:val="000000"/>
          <w:sz w:val="24"/>
        </w:rPr>
        <w:lastRenderedPageBreak/>
        <w:t xml:space="preserve">conflict with the intended utilization of the property. </w:t>
      </w:r>
    </w:p>
    <w:p w14:paraId="2475E5AA" w14:textId="77777777" w:rsidR="00B92A66" w:rsidRPr="007A3978" w:rsidRDefault="00B92A66" w:rsidP="00E14863">
      <w:pPr>
        <w:pStyle w:val="ListParagraph"/>
        <w:widowControl w:val="0"/>
        <w:numPr>
          <w:ilvl w:val="0"/>
          <w:numId w:val="10"/>
        </w:numPr>
        <w:spacing w:after="0" w:line="240" w:lineRule="auto"/>
        <w:rPr>
          <w:rFonts w:ascii="Calibri" w:hAnsi="Calibri" w:cs="Calibri"/>
          <w:color w:val="000000"/>
          <w:sz w:val="24"/>
        </w:rPr>
      </w:pPr>
      <w:r w:rsidRPr="00C97D84">
        <w:rPr>
          <w:rFonts w:ascii="Calibri" w:hAnsi="Calibri" w:cs="Calibri"/>
          <w:color w:val="000000"/>
          <w:sz w:val="24"/>
        </w:rPr>
        <w:t>Per 58.5(i)(2)(ii) the environmental review of multifamily housing with five or more dwelling units (including leasing), or non-residential property, must include the evaluation of previous uses of the site or other evidence of contamination on or near the site, to ensure that the occupants of proposed sites are not adversely affected by any of the hazards listed in paragraph (i)(2)(i) of this section.</w:t>
      </w:r>
    </w:p>
    <w:p w14:paraId="59F87F33" w14:textId="10F7851F" w:rsidR="00B92A66" w:rsidRPr="007A3978" w:rsidRDefault="00B92A66" w:rsidP="00E14863">
      <w:pPr>
        <w:pStyle w:val="ListParagraph"/>
        <w:widowControl w:val="0"/>
        <w:numPr>
          <w:ilvl w:val="0"/>
          <w:numId w:val="10"/>
        </w:numPr>
        <w:spacing w:after="0" w:line="240" w:lineRule="auto"/>
        <w:rPr>
          <w:rFonts w:ascii="Calibri" w:hAnsi="Calibri" w:cs="Calibri"/>
          <w:color w:val="000000"/>
          <w:sz w:val="24"/>
        </w:rPr>
      </w:pPr>
      <w:r w:rsidRPr="00C97D84">
        <w:rPr>
          <w:rFonts w:ascii="Calibri" w:hAnsi="Calibri" w:cs="Calibri"/>
          <w:color w:val="000000"/>
          <w:sz w:val="24"/>
        </w:rPr>
        <w:t xml:space="preserve">Lots to be acquired for selection cannot and will not undergo any development or other activity that constitutes a choice limiting action per 24 </w:t>
      </w:r>
      <w:r w:rsidR="00C821F6">
        <w:rPr>
          <w:rFonts w:ascii="Calibri" w:hAnsi="Calibri" w:cs="Calibri"/>
          <w:color w:val="000000"/>
          <w:sz w:val="24"/>
        </w:rPr>
        <w:t>C.F.R.</w:t>
      </w:r>
      <w:r w:rsidRPr="00C97D84">
        <w:rPr>
          <w:rFonts w:ascii="Calibri" w:hAnsi="Calibri" w:cs="Calibri"/>
          <w:color w:val="000000"/>
          <w:sz w:val="24"/>
        </w:rPr>
        <w:t xml:space="preserve"> </w:t>
      </w:r>
      <w:r w:rsidR="00C821F6">
        <w:rPr>
          <w:rFonts w:ascii="Calibri" w:hAnsi="Calibri" w:cs="Calibri"/>
          <w:color w:val="000000"/>
          <w:sz w:val="24"/>
        </w:rPr>
        <w:t xml:space="preserve">§ </w:t>
      </w:r>
      <w:r w:rsidRPr="00C97D84">
        <w:rPr>
          <w:rFonts w:ascii="Calibri" w:hAnsi="Calibri" w:cs="Calibri"/>
          <w:color w:val="000000"/>
          <w:sz w:val="24"/>
        </w:rPr>
        <w:t>58.22, regardless of whether HUD or non-HUD funds are used.</w:t>
      </w:r>
      <w:r>
        <w:rPr>
          <w:rFonts w:ascii="Calibri" w:hAnsi="Calibri" w:cs="Calibri"/>
          <w:color w:val="000000"/>
          <w:sz w:val="24"/>
        </w:rPr>
        <w:t xml:space="preserve"> </w:t>
      </w:r>
      <w:r w:rsidRPr="00C97D84">
        <w:rPr>
          <w:rFonts w:ascii="Calibri" w:hAnsi="Calibri" w:cs="Calibri"/>
          <w:color w:val="000000"/>
          <w:sz w:val="24"/>
        </w:rPr>
        <w:t xml:space="preserve">No HUD funds can or will be used prior to the issuance of the Release of Funds/Authority to Use Grant Funds </w:t>
      </w:r>
      <w:r w:rsidR="00E56875">
        <w:rPr>
          <w:rFonts w:ascii="Calibri" w:hAnsi="Calibri" w:cs="Calibri"/>
          <w:color w:val="000000"/>
          <w:sz w:val="24"/>
        </w:rPr>
        <w:t>(“</w:t>
      </w:r>
      <w:r w:rsidRPr="00C97D84">
        <w:rPr>
          <w:rFonts w:ascii="Calibri" w:hAnsi="Calibri" w:cs="Calibri"/>
          <w:color w:val="000000"/>
          <w:sz w:val="24"/>
        </w:rPr>
        <w:t>AUGF</w:t>
      </w:r>
      <w:r w:rsidR="00394E25">
        <w:rPr>
          <w:rFonts w:ascii="Calibri" w:hAnsi="Calibri" w:cs="Calibri"/>
          <w:color w:val="000000"/>
          <w:sz w:val="24"/>
        </w:rPr>
        <w:t>”</w:t>
      </w:r>
      <w:r w:rsidRPr="00C97D84">
        <w:rPr>
          <w:rFonts w:ascii="Calibri" w:hAnsi="Calibri" w:cs="Calibri"/>
          <w:color w:val="000000"/>
          <w:sz w:val="24"/>
        </w:rPr>
        <w:t xml:space="preserve">) and all necessary site-specific environmental review and clearance as required by 24 </w:t>
      </w:r>
      <w:r w:rsidR="00C821F6">
        <w:rPr>
          <w:rFonts w:ascii="Calibri" w:hAnsi="Calibri" w:cs="Calibri"/>
          <w:color w:val="000000"/>
          <w:sz w:val="24"/>
        </w:rPr>
        <w:t>C.F.R.</w:t>
      </w:r>
      <w:r w:rsidRPr="00C97D84">
        <w:rPr>
          <w:rFonts w:ascii="Calibri" w:hAnsi="Calibri" w:cs="Calibri"/>
          <w:color w:val="000000"/>
          <w:sz w:val="24"/>
        </w:rPr>
        <w:t xml:space="preserve"> </w:t>
      </w:r>
      <w:r w:rsidR="00C821F6">
        <w:rPr>
          <w:rFonts w:ascii="Calibri" w:hAnsi="Calibri" w:cs="Calibri"/>
          <w:color w:val="000000"/>
          <w:sz w:val="24"/>
        </w:rPr>
        <w:t xml:space="preserve">Part </w:t>
      </w:r>
      <w:r w:rsidRPr="00C97D84">
        <w:rPr>
          <w:rFonts w:ascii="Calibri" w:hAnsi="Calibri" w:cs="Calibri"/>
          <w:color w:val="000000"/>
          <w:sz w:val="24"/>
        </w:rPr>
        <w:t>58.</w:t>
      </w:r>
    </w:p>
    <w:p w14:paraId="2D34BC91" w14:textId="4F591A75" w:rsidR="00B92A66" w:rsidRPr="007A3978" w:rsidRDefault="00B92A66" w:rsidP="00E14863">
      <w:pPr>
        <w:pStyle w:val="ListParagraph"/>
        <w:widowControl w:val="0"/>
        <w:numPr>
          <w:ilvl w:val="0"/>
          <w:numId w:val="10"/>
        </w:numPr>
        <w:spacing w:after="0" w:line="240" w:lineRule="auto"/>
        <w:rPr>
          <w:rFonts w:ascii="Calibri" w:hAnsi="Calibri" w:cs="Calibri"/>
          <w:color w:val="000000"/>
          <w:sz w:val="24"/>
        </w:rPr>
      </w:pPr>
      <w:r w:rsidRPr="00C97D84">
        <w:rPr>
          <w:rFonts w:ascii="Calibri" w:hAnsi="Calibri" w:cs="Calibri"/>
          <w:color w:val="000000"/>
          <w:sz w:val="24"/>
        </w:rPr>
        <w:t xml:space="preserve">Regulations found at 24 </w:t>
      </w:r>
      <w:r w:rsidR="00C821F6">
        <w:rPr>
          <w:rFonts w:ascii="Calibri" w:hAnsi="Calibri" w:cs="Calibri"/>
          <w:color w:val="000000"/>
          <w:sz w:val="24"/>
        </w:rPr>
        <w:t>C.F.R.</w:t>
      </w:r>
      <w:r w:rsidRPr="00C97D84">
        <w:rPr>
          <w:rFonts w:ascii="Calibri" w:hAnsi="Calibri" w:cs="Calibri"/>
          <w:color w:val="000000"/>
          <w:sz w:val="24"/>
        </w:rPr>
        <w:t xml:space="preserve"> </w:t>
      </w:r>
      <w:r w:rsidR="00C821F6">
        <w:rPr>
          <w:rFonts w:ascii="Calibri" w:hAnsi="Calibri" w:cs="Calibri"/>
          <w:color w:val="000000"/>
          <w:sz w:val="24"/>
        </w:rPr>
        <w:t xml:space="preserve">Part </w:t>
      </w:r>
      <w:r w:rsidRPr="00C97D84">
        <w:rPr>
          <w:rFonts w:ascii="Calibri" w:hAnsi="Calibri" w:cs="Calibri"/>
          <w:color w:val="000000"/>
          <w:sz w:val="24"/>
        </w:rPr>
        <w:t xml:space="preserve">58 also govern sound mitigation requirements if noise levels in a Normally Unacceptable Noise Zone (NUNZ, 65-75 decibels (dB)) or Unacceptable Noise Zone (UNZ, 75+ dB), and regulations found at 24 </w:t>
      </w:r>
      <w:r w:rsidR="00C821F6">
        <w:rPr>
          <w:rFonts w:ascii="Calibri" w:hAnsi="Calibri" w:cs="Calibri"/>
          <w:color w:val="000000"/>
          <w:sz w:val="24"/>
        </w:rPr>
        <w:t>C.F.R. Part</w:t>
      </w:r>
      <w:r w:rsidRPr="00C97D84">
        <w:rPr>
          <w:rFonts w:ascii="Calibri" w:hAnsi="Calibri" w:cs="Calibri"/>
          <w:color w:val="000000"/>
          <w:sz w:val="24"/>
        </w:rPr>
        <w:t xml:space="preserve"> 55 govern flood mitigation for any existing properties that reside in the 100-year floodplain.</w:t>
      </w:r>
      <w:r>
        <w:rPr>
          <w:rFonts w:ascii="Calibri" w:hAnsi="Calibri" w:cs="Calibri"/>
          <w:color w:val="000000"/>
          <w:sz w:val="24"/>
        </w:rPr>
        <w:t xml:space="preserve"> </w:t>
      </w:r>
    </w:p>
    <w:p w14:paraId="5B32D5E0" w14:textId="67F4AEB9" w:rsidR="00B92A66" w:rsidRPr="00C97D84" w:rsidRDefault="00B92A66" w:rsidP="00E14863">
      <w:pPr>
        <w:pStyle w:val="ListParagraph"/>
        <w:widowControl w:val="0"/>
        <w:numPr>
          <w:ilvl w:val="0"/>
          <w:numId w:val="10"/>
        </w:numPr>
        <w:spacing w:after="0" w:line="240" w:lineRule="auto"/>
        <w:rPr>
          <w:rFonts w:ascii="Calibri" w:hAnsi="Calibri" w:cs="Calibri"/>
          <w:color w:val="000000"/>
          <w:sz w:val="24"/>
        </w:rPr>
      </w:pPr>
      <w:r w:rsidRPr="00C97D84">
        <w:rPr>
          <w:rFonts w:ascii="Calibri" w:hAnsi="Calibri" w:cs="Calibri"/>
          <w:color w:val="000000"/>
          <w:sz w:val="24"/>
        </w:rPr>
        <w:t xml:space="preserve">Hazardous materials described at </w:t>
      </w:r>
      <w:r w:rsidR="00C821F6">
        <w:rPr>
          <w:rFonts w:ascii="Calibri" w:hAnsi="Calibri" w:cs="Calibri"/>
          <w:color w:val="000000"/>
          <w:sz w:val="24"/>
        </w:rPr>
        <w:t xml:space="preserve">24 C.F.R. § </w:t>
      </w:r>
      <w:r w:rsidRPr="00C97D84">
        <w:rPr>
          <w:rFonts w:ascii="Calibri" w:hAnsi="Calibri" w:cs="Calibri"/>
          <w:color w:val="000000"/>
          <w:sz w:val="24"/>
        </w:rPr>
        <w:t>58.5(i)(2)(i) cover all forms of contamination, including but not limited to lead and asbestos that may be found in older buildings, particularly those built prior to 1978.</w:t>
      </w:r>
    </w:p>
    <w:p w14:paraId="7586ED1D" w14:textId="77777777" w:rsidR="00A94AAB" w:rsidRPr="00C97D84" w:rsidRDefault="00A94AAB" w:rsidP="000307CA">
      <w:pPr>
        <w:pStyle w:val="ListParagraph"/>
        <w:spacing w:after="0" w:line="240" w:lineRule="auto"/>
        <w:rPr>
          <w:rFonts w:ascii="Calibri" w:hAnsi="Calibri" w:cs="Calibri"/>
          <w:color w:val="000000"/>
          <w:sz w:val="24"/>
        </w:rPr>
      </w:pPr>
    </w:p>
    <w:p w14:paraId="52550D7C" w14:textId="767D529C" w:rsidR="00B92A66" w:rsidRDefault="00B92A66" w:rsidP="000307CA">
      <w:pPr>
        <w:pStyle w:val="BodyText"/>
        <w:rPr>
          <w:rFonts w:asciiTheme="minorHAnsi" w:hAnsiTheme="minorHAnsi"/>
        </w:rPr>
      </w:pPr>
      <w:r w:rsidRPr="00AB1915">
        <w:rPr>
          <w:rFonts w:asciiTheme="minorHAnsi" w:hAnsiTheme="minorHAnsi"/>
        </w:rPr>
        <w:t xml:space="preserve">An ASTM E1527-13 Phase I Environmental Site Assessment </w:t>
      </w:r>
      <w:r w:rsidR="00E56875">
        <w:rPr>
          <w:rFonts w:asciiTheme="minorHAnsi" w:hAnsiTheme="minorHAnsi"/>
        </w:rPr>
        <w:t>(“</w:t>
      </w:r>
      <w:r w:rsidRPr="00AB1915">
        <w:rPr>
          <w:rFonts w:asciiTheme="minorHAnsi" w:hAnsiTheme="minorHAnsi"/>
        </w:rPr>
        <w:t>ESA</w:t>
      </w:r>
      <w:r w:rsidR="00394E25">
        <w:rPr>
          <w:rFonts w:asciiTheme="minorHAnsi" w:hAnsiTheme="minorHAnsi"/>
        </w:rPr>
        <w:t>”</w:t>
      </w:r>
      <w:r w:rsidRPr="00AB1915">
        <w:rPr>
          <w:rFonts w:asciiTheme="minorHAnsi" w:hAnsiTheme="minorHAnsi"/>
        </w:rPr>
        <w:t>), under 6 months of age, must accompany projects involving acquisition</w:t>
      </w:r>
      <w:r>
        <w:rPr>
          <w:rFonts w:asciiTheme="minorHAnsi" w:hAnsiTheme="minorHAnsi"/>
        </w:rPr>
        <w:t>.</w:t>
      </w:r>
    </w:p>
    <w:p w14:paraId="218596A3" w14:textId="65E4B716" w:rsidR="00D34D6A" w:rsidRPr="00C97D84" w:rsidRDefault="00D34D6A" w:rsidP="000307CA">
      <w:pPr>
        <w:spacing w:after="0" w:line="240" w:lineRule="auto"/>
      </w:pPr>
    </w:p>
    <w:p w14:paraId="0A419DB8" w14:textId="4426E58B" w:rsidR="00373D7B" w:rsidRPr="00373D7B" w:rsidRDefault="00373D7B" w:rsidP="000307CA">
      <w:pPr>
        <w:pStyle w:val="Heading2"/>
        <w:spacing w:before="0" w:line="240" w:lineRule="auto"/>
        <w:rPr>
          <w:color w:val="5B9BD5" w:themeColor="accent5"/>
        </w:rPr>
      </w:pPr>
      <w:bookmarkStart w:id="41" w:name="_Toc5020433"/>
      <w:bookmarkStart w:id="42" w:name="_Toc8137189"/>
      <w:bookmarkStart w:id="43" w:name="_Toc22628990"/>
      <w:r>
        <w:rPr>
          <w:color w:val="5B9BD5" w:themeColor="accent5"/>
        </w:rPr>
        <w:t>Property Acquired</w:t>
      </w:r>
      <w:r w:rsidRPr="00373D7B">
        <w:rPr>
          <w:color w:val="5B9BD5" w:themeColor="accent5"/>
        </w:rPr>
        <w:t xml:space="preserve"> Requirements</w:t>
      </w:r>
      <w:bookmarkEnd w:id="41"/>
      <w:bookmarkEnd w:id="42"/>
      <w:bookmarkEnd w:id="43"/>
      <w:r w:rsidRPr="00373D7B">
        <w:rPr>
          <w:color w:val="5B9BD5" w:themeColor="accent5"/>
        </w:rPr>
        <w:t xml:space="preserve"> </w:t>
      </w:r>
    </w:p>
    <w:p w14:paraId="4214189F" w14:textId="47CFDFE3" w:rsidR="00A94AAB" w:rsidRPr="00C97D84" w:rsidRDefault="00A94AAB" w:rsidP="000307CA">
      <w:pPr>
        <w:spacing w:after="0" w:line="240" w:lineRule="auto"/>
        <w:rPr>
          <w:rFonts w:ascii="Calibri" w:hAnsi="Calibri" w:cs="Calibri"/>
          <w:color w:val="000000"/>
          <w:sz w:val="24"/>
          <w:szCs w:val="23"/>
        </w:rPr>
      </w:pPr>
      <w:r w:rsidRPr="00C97D84">
        <w:rPr>
          <w:rFonts w:ascii="Calibri" w:hAnsi="Calibri" w:cs="Calibri"/>
          <w:color w:val="000000"/>
          <w:sz w:val="24"/>
          <w:szCs w:val="23"/>
        </w:rPr>
        <w:t xml:space="preserve">All </w:t>
      </w:r>
      <w:r w:rsidR="00C85BA2">
        <w:rPr>
          <w:rFonts w:ascii="Calibri" w:hAnsi="Calibri" w:cs="Calibri"/>
          <w:color w:val="000000"/>
          <w:sz w:val="24"/>
          <w:szCs w:val="23"/>
        </w:rPr>
        <w:t xml:space="preserve">projects </w:t>
      </w:r>
      <w:r w:rsidRPr="00C97D84">
        <w:rPr>
          <w:rFonts w:ascii="Calibri" w:hAnsi="Calibri" w:cs="Calibri"/>
          <w:color w:val="000000"/>
          <w:sz w:val="24"/>
          <w:szCs w:val="23"/>
        </w:rPr>
        <w:t xml:space="preserve">selected for financing will require City Council approval. Afterwards, documentation will require, but is not limited to, the following: </w:t>
      </w:r>
    </w:p>
    <w:p w14:paraId="5ECD9E5D" w14:textId="77777777" w:rsidR="005C3D61" w:rsidRPr="00C97D84" w:rsidRDefault="005C3D61" w:rsidP="005C3D61">
      <w:pPr>
        <w:pStyle w:val="ListParagraph"/>
        <w:widowControl w:val="0"/>
        <w:numPr>
          <w:ilvl w:val="0"/>
          <w:numId w:val="12"/>
        </w:numPr>
        <w:spacing w:after="0" w:line="240" w:lineRule="auto"/>
        <w:contextualSpacing w:val="0"/>
        <w:rPr>
          <w:rFonts w:ascii="Calibri" w:hAnsi="Calibri" w:cs="Calibri"/>
          <w:color w:val="000000"/>
          <w:sz w:val="24"/>
          <w:szCs w:val="23"/>
        </w:rPr>
      </w:pPr>
      <w:r w:rsidRPr="00C97D84">
        <w:rPr>
          <w:rFonts w:ascii="Calibri" w:hAnsi="Calibri" w:cs="Calibri"/>
          <w:color w:val="000000"/>
          <w:sz w:val="24"/>
          <w:szCs w:val="23"/>
        </w:rPr>
        <w:t>Final drafts of all required HCDD loan documentation</w:t>
      </w:r>
      <w:r>
        <w:rPr>
          <w:rFonts w:ascii="Calibri" w:hAnsi="Calibri" w:cs="Calibri"/>
          <w:color w:val="000000"/>
          <w:sz w:val="24"/>
          <w:szCs w:val="23"/>
        </w:rPr>
        <w:t xml:space="preserve">. </w:t>
      </w:r>
    </w:p>
    <w:p w14:paraId="11413B77" w14:textId="77777777" w:rsidR="005C3D61" w:rsidRPr="00C97D84" w:rsidRDefault="005C3D61" w:rsidP="005C3D61">
      <w:pPr>
        <w:pStyle w:val="ListParagraph"/>
        <w:widowControl w:val="0"/>
        <w:numPr>
          <w:ilvl w:val="0"/>
          <w:numId w:val="12"/>
        </w:numPr>
        <w:spacing w:after="0" w:line="240" w:lineRule="auto"/>
        <w:contextualSpacing w:val="0"/>
        <w:rPr>
          <w:rFonts w:ascii="Calibri" w:hAnsi="Calibri" w:cs="Calibri"/>
          <w:color w:val="000000"/>
          <w:sz w:val="24"/>
          <w:szCs w:val="23"/>
        </w:rPr>
      </w:pPr>
      <w:r w:rsidRPr="00C97D84">
        <w:rPr>
          <w:rFonts w:ascii="Calibri" w:hAnsi="Calibri" w:cs="Calibri"/>
          <w:color w:val="000000"/>
          <w:sz w:val="24"/>
          <w:szCs w:val="23"/>
        </w:rPr>
        <w:t>Survey, appraisal, and liability insurance all current and in place.</w:t>
      </w:r>
      <w:r>
        <w:rPr>
          <w:rFonts w:ascii="Calibri" w:hAnsi="Calibri" w:cs="Calibri"/>
          <w:color w:val="000000"/>
          <w:sz w:val="24"/>
          <w:szCs w:val="23"/>
        </w:rPr>
        <w:t xml:space="preserve"> </w:t>
      </w:r>
    </w:p>
    <w:p w14:paraId="0E930A5E" w14:textId="18A8EFBB" w:rsidR="005C3D61" w:rsidRPr="00C97D84" w:rsidRDefault="005C3D61" w:rsidP="005C3D61">
      <w:pPr>
        <w:pStyle w:val="ListParagraph"/>
        <w:widowControl w:val="0"/>
        <w:numPr>
          <w:ilvl w:val="0"/>
          <w:numId w:val="12"/>
        </w:numPr>
        <w:spacing w:after="0" w:line="240" w:lineRule="auto"/>
        <w:contextualSpacing w:val="0"/>
        <w:rPr>
          <w:rFonts w:ascii="Calibri" w:hAnsi="Calibri" w:cs="Calibri"/>
          <w:color w:val="000000"/>
          <w:sz w:val="24"/>
          <w:szCs w:val="23"/>
        </w:rPr>
      </w:pPr>
      <w:r w:rsidRPr="00C97D84">
        <w:rPr>
          <w:rFonts w:ascii="Calibri" w:hAnsi="Calibri" w:cs="Calibri"/>
          <w:color w:val="000000"/>
          <w:sz w:val="24"/>
          <w:szCs w:val="23"/>
        </w:rPr>
        <w:t xml:space="preserve">Tenant Selection Policy, Actual Lease with Addendum, Affirmative Marketing </w:t>
      </w:r>
      <w:r w:rsidR="006B47A8" w:rsidRPr="00C97D84">
        <w:rPr>
          <w:rFonts w:ascii="Calibri" w:hAnsi="Calibri" w:cs="Calibri"/>
          <w:color w:val="000000"/>
          <w:sz w:val="24"/>
          <w:szCs w:val="23"/>
        </w:rPr>
        <w:t>Plan</w:t>
      </w:r>
      <w:r w:rsidRPr="00C97D84">
        <w:rPr>
          <w:rFonts w:ascii="Calibri" w:hAnsi="Calibri" w:cs="Calibri"/>
          <w:color w:val="000000"/>
          <w:sz w:val="24"/>
          <w:szCs w:val="23"/>
        </w:rPr>
        <w:t xml:space="preserve">, </w:t>
      </w:r>
      <w:r w:rsidR="000A4F32">
        <w:rPr>
          <w:rFonts w:ascii="Calibri" w:hAnsi="Calibri" w:cs="Calibri"/>
          <w:color w:val="000000"/>
          <w:sz w:val="24"/>
          <w:szCs w:val="23"/>
        </w:rPr>
        <w:t xml:space="preserve">Notice to Real Property, </w:t>
      </w:r>
      <w:r w:rsidRPr="00C97D84">
        <w:rPr>
          <w:rFonts w:ascii="Calibri" w:hAnsi="Calibri" w:cs="Calibri"/>
          <w:color w:val="000000"/>
          <w:sz w:val="24"/>
          <w:szCs w:val="23"/>
        </w:rPr>
        <w:t xml:space="preserve">Relocation Plan </w:t>
      </w:r>
      <w:r w:rsidR="006B47A8">
        <w:rPr>
          <w:rFonts w:ascii="Calibri" w:hAnsi="Calibri" w:cs="Calibri"/>
          <w:color w:val="000000"/>
          <w:sz w:val="24"/>
          <w:szCs w:val="23"/>
        </w:rPr>
        <w:t xml:space="preserve">and Budget </w:t>
      </w:r>
      <w:r w:rsidRPr="00C97D84">
        <w:rPr>
          <w:rFonts w:ascii="Calibri" w:hAnsi="Calibri" w:cs="Calibri"/>
          <w:color w:val="000000"/>
          <w:sz w:val="24"/>
          <w:szCs w:val="23"/>
        </w:rPr>
        <w:t xml:space="preserve">if </w:t>
      </w:r>
      <w:r w:rsidR="006B47A8" w:rsidRPr="006B47A8">
        <w:rPr>
          <w:rFonts w:ascii="Calibri" w:hAnsi="Calibri" w:cs="Calibri"/>
          <w:color w:val="000000"/>
          <w:sz w:val="24"/>
          <w:szCs w:val="23"/>
        </w:rPr>
        <w:t>applicable</w:t>
      </w:r>
      <w:r w:rsidRPr="00C97D84">
        <w:rPr>
          <w:rFonts w:ascii="Calibri" w:hAnsi="Calibri" w:cs="Calibri"/>
          <w:color w:val="000000"/>
          <w:sz w:val="24"/>
          <w:szCs w:val="23"/>
        </w:rPr>
        <w:t xml:space="preserve">, and Rent Schedule must be reviewed and approved by Administrative Director of Portfolio Compliance </w:t>
      </w:r>
      <w:r w:rsidR="00E56875">
        <w:rPr>
          <w:rFonts w:ascii="Calibri" w:hAnsi="Calibri" w:cs="Calibri"/>
          <w:color w:val="000000"/>
          <w:sz w:val="24"/>
          <w:szCs w:val="23"/>
        </w:rPr>
        <w:t>(“</w:t>
      </w:r>
      <w:r w:rsidRPr="00C97D84">
        <w:rPr>
          <w:rFonts w:ascii="Calibri" w:hAnsi="Calibri" w:cs="Calibri"/>
          <w:color w:val="000000"/>
          <w:sz w:val="24"/>
          <w:szCs w:val="23"/>
        </w:rPr>
        <w:t>ADPC</w:t>
      </w:r>
      <w:r w:rsidR="00394E25">
        <w:rPr>
          <w:rFonts w:ascii="Calibri" w:hAnsi="Calibri" w:cs="Calibri"/>
          <w:color w:val="000000"/>
          <w:sz w:val="24"/>
          <w:szCs w:val="23"/>
        </w:rPr>
        <w:t>”</w:t>
      </w:r>
      <w:r w:rsidRPr="00C97D84">
        <w:rPr>
          <w:rFonts w:ascii="Calibri" w:hAnsi="Calibri" w:cs="Calibri"/>
          <w:color w:val="000000"/>
          <w:sz w:val="24"/>
          <w:szCs w:val="23"/>
        </w:rPr>
        <w:t>) and AD.</w:t>
      </w:r>
    </w:p>
    <w:p w14:paraId="3A016C39" w14:textId="77777777" w:rsidR="005C3D61" w:rsidRPr="00C97D84" w:rsidRDefault="005C3D61" w:rsidP="005C3D61">
      <w:pPr>
        <w:pStyle w:val="ListParagraph"/>
        <w:widowControl w:val="0"/>
        <w:numPr>
          <w:ilvl w:val="0"/>
          <w:numId w:val="12"/>
        </w:numPr>
        <w:spacing w:after="0" w:line="240" w:lineRule="auto"/>
        <w:contextualSpacing w:val="0"/>
        <w:rPr>
          <w:rFonts w:ascii="Calibri" w:hAnsi="Calibri" w:cs="Calibri"/>
          <w:color w:val="000000"/>
          <w:sz w:val="24"/>
          <w:szCs w:val="23"/>
        </w:rPr>
      </w:pPr>
      <w:r w:rsidRPr="00C97D84">
        <w:rPr>
          <w:rFonts w:ascii="Calibri" w:hAnsi="Calibri" w:cs="Calibri"/>
          <w:color w:val="000000"/>
          <w:sz w:val="24"/>
          <w:szCs w:val="23"/>
        </w:rPr>
        <w:t>Release of Funds Authorization from HUD</w:t>
      </w:r>
      <w:r>
        <w:rPr>
          <w:rFonts w:ascii="Calibri" w:hAnsi="Calibri" w:cs="Calibri"/>
          <w:color w:val="000000"/>
          <w:sz w:val="24"/>
          <w:szCs w:val="23"/>
        </w:rPr>
        <w:t>.</w:t>
      </w:r>
    </w:p>
    <w:p w14:paraId="63A1A9C3" w14:textId="5205C384" w:rsidR="005C3D61" w:rsidRPr="00C97D84" w:rsidRDefault="005C3D61" w:rsidP="005C3D61">
      <w:pPr>
        <w:pStyle w:val="ListParagraph"/>
        <w:widowControl w:val="0"/>
        <w:numPr>
          <w:ilvl w:val="0"/>
          <w:numId w:val="12"/>
        </w:numPr>
        <w:spacing w:after="0" w:line="240" w:lineRule="auto"/>
        <w:contextualSpacing w:val="0"/>
        <w:rPr>
          <w:rFonts w:ascii="Calibri" w:hAnsi="Calibri" w:cs="Calibri"/>
          <w:color w:val="000000"/>
          <w:sz w:val="24"/>
          <w:szCs w:val="23"/>
        </w:rPr>
      </w:pPr>
      <w:r w:rsidRPr="00C97D84">
        <w:rPr>
          <w:rFonts w:ascii="Calibri" w:hAnsi="Calibri" w:cs="Calibri"/>
          <w:color w:val="000000"/>
          <w:sz w:val="24"/>
          <w:szCs w:val="23"/>
        </w:rPr>
        <w:t xml:space="preserve">Assure all regulations of the Uniform Relocation Assistance Act and Real Property </w:t>
      </w:r>
      <w:r w:rsidR="00B52354">
        <w:rPr>
          <w:rFonts w:ascii="Calibri" w:hAnsi="Calibri" w:cs="Calibri"/>
          <w:color w:val="000000"/>
          <w:sz w:val="24"/>
          <w:szCs w:val="23"/>
        </w:rPr>
        <w:t xml:space="preserve">Acquisition Policies Act </w:t>
      </w:r>
      <w:r w:rsidRPr="00C97D84">
        <w:rPr>
          <w:rFonts w:ascii="Calibri" w:hAnsi="Calibri" w:cs="Calibri"/>
          <w:color w:val="000000"/>
          <w:sz w:val="24"/>
          <w:szCs w:val="23"/>
        </w:rPr>
        <w:t xml:space="preserve">of 1970, </w:t>
      </w:r>
      <w:r w:rsidR="00B52354">
        <w:rPr>
          <w:rFonts w:ascii="Calibri" w:hAnsi="Calibri" w:cs="Calibri"/>
          <w:color w:val="000000"/>
          <w:sz w:val="24"/>
          <w:szCs w:val="23"/>
        </w:rPr>
        <w:t xml:space="preserve">Pub. L. 91-646, Jan. 2, 1971, 84 Stat. 1894 (codified at 42 U.S.C. §§ 4601-4655, </w:t>
      </w:r>
      <w:r w:rsidRPr="00C97D84">
        <w:rPr>
          <w:rFonts w:ascii="Calibri" w:hAnsi="Calibri" w:cs="Calibri"/>
          <w:color w:val="000000"/>
          <w:sz w:val="24"/>
          <w:szCs w:val="23"/>
        </w:rPr>
        <w:t>as amended</w:t>
      </w:r>
      <w:r w:rsidR="00B52354">
        <w:rPr>
          <w:rFonts w:ascii="Calibri" w:hAnsi="Calibri" w:cs="Calibri"/>
          <w:color w:val="000000"/>
          <w:sz w:val="24"/>
          <w:szCs w:val="23"/>
        </w:rPr>
        <w:t>)</w:t>
      </w:r>
      <w:r w:rsidRPr="00C97D84">
        <w:rPr>
          <w:rFonts w:ascii="Calibri" w:hAnsi="Calibri" w:cs="Calibri"/>
          <w:color w:val="000000"/>
          <w:sz w:val="24"/>
          <w:szCs w:val="23"/>
        </w:rPr>
        <w:t xml:space="preserve"> </w:t>
      </w:r>
      <w:r w:rsidR="00E56875">
        <w:rPr>
          <w:rFonts w:ascii="Calibri" w:hAnsi="Calibri" w:cs="Calibri"/>
          <w:color w:val="000000"/>
          <w:sz w:val="24"/>
          <w:szCs w:val="23"/>
        </w:rPr>
        <w:t>(</w:t>
      </w:r>
      <w:r w:rsidR="00B52354">
        <w:rPr>
          <w:rFonts w:ascii="Calibri" w:hAnsi="Calibri" w:cs="Calibri"/>
          <w:color w:val="000000"/>
          <w:sz w:val="24"/>
          <w:szCs w:val="23"/>
        </w:rPr>
        <w:t xml:space="preserve">the </w:t>
      </w:r>
      <w:r w:rsidR="00E56875">
        <w:rPr>
          <w:rFonts w:ascii="Calibri" w:hAnsi="Calibri" w:cs="Calibri"/>
          <w:color w:val="000000"/>
          <w:sz w:val="24"/>
          <w:szCs w:val="23"/>
        </w:rPr>
        <w:t>“</w:t>
      </w:r>
      <w:r w:rsidRPr="00C97D84">
        <w:rPr>
          <w:rFonts w:ascii="Calibri" w:hAnsi="Calibri" w:cs="Calibri"/>
          <w:color w:val="000000"/>
          <w:sz w:val="24"/>
          <w:szCs w:val="23"/>
        </w:rPr>
        <w:t>URA</w:t>
      </w:r>
      <w:r w:rsidR="00394E25">
        <w:rPr>
          <w:rFonts w:ascii="Calibri" w:hAnsi="Calibri" w:cs="Calibri"/>
          <w:color w:val="000000"/>
          <w:sz w:val="24"/>
          <w:szCs w:val="23"/>
        </w:rPr>
        <w:t>”</w:t>
      </w:r>
      <w:r w:rsidRPr="00C97D84">
        <w:rPr>
          <w:rFonts w:ascii="Calibri" w:hAnsi="Calibri" w:cs="Calibri"/>
          <w:color w:val="000000"/>
          <w:sz w:val="24"/>
          <w:szCs w:val="23"/>
        </w:rPr>
        <w:t>) have been and will be followed.</w:t>
      </w:r>
    </w:p>
    <w:p w14:paraId="4BFA7CA0" w14:textId="77777777" w:rsidR="005C3D61" w:rsidRPr="00C97D84" w:rsidRDefault="005C3D61" w:rsidP="005C3D61">
      <w:pPr>
        <w:pStyle w:val="ListParagraph"/>
        <w:widowControl w:val="0"/>
        <w:numPr>
          <w:ilvl w:val="0"/>
          <w:numId w:val="12"/>
        </w:numPr>
        <w:spacing w:after="0" w:line="240" w:lineRule="auto"/>
        <w:contextualSpacing w:val="0"/>
        <w:rPr>
          <w:rFonts w:ascii="Calibri" w:hAnsi="Calibri" w:cs="Calibri"/>
          <w:color w:val="000000"/>
          <w:sz w:val="24"/>
          <w:szCs w:val="23"/>
        </w:rPr>
      </w:pPr>
      <w:r w:rsidRPr="00C97D84">
        <w:rPr>
          <w:rFonts w:ascii="Calibri" w:hAnsi="Calibri" w:cs="Calibri"/>
          <w:color w:val="000000"/>
          <w:sz w:val="24"/>
          <w:szCs w:val="23"/>
        </w:rPr>
        <w:t>30 day posting periods for Envi</w:t>
      </w:r>
      <w:r>
        <w:rPr>
          <w:rFonts w:ascii="Calibri" w:hAnsi="Calibri" w:cs="Calibri"/>
          <w:color w:val="000000"/>
          <w:sz w:val="24"/>
          <w:szCs w:val="23"/>
        </w:rPr>
        <w:t>ronmental and Grants Management.</w:t>
      </w:r>
    </w:p>
    <w:p w14:paraId="41502D1E" w14:textId="5A6410AF" w:rsidR="00B92A66" w:rsidRPr="009D2B46" w:rsidRDefault="005C3D61" w:rsidP="009D2B46">
      <w:pPr>
        <w:pStyle w:val="ListParagraph"/>
        <w:widowControl w:val="0"/>
        <w:numPr>
          <w:ilvl w:val="0"/>
          <w:numId w:val="12"/>
        </w:numPr>
        <w:spacing w:after="0" w:line="240" w:lineRule="auto"/>
        <w:contextualSpacing w:val="0"/>
        <w:rPr>
          <w:rFonts w:ascii="Calibri" w:hAnsi="Calibri" w:cs="Calibri"/>
          <w:color w:val="000000"/>
          <w:sz w:val="24"/>
          <w:szCs w:val="23"/>
        </w:rPr>
      </w:pPr>
      <w:r w:rsidRPr="00C97D84">
        <w:rPr>
          <w:rFonts w:ascii="Calibri" w:hAnsi="Calibri" w:cs="Calibri"/>
          <w:color w:val="000000"/>
          <w:sz w:val="24"/>
          <w:szCs w:val="23"/>
        </w:rPr>
        <w:t>Verification of Payment and Performance bond in place or acceptable letter of credit</w:t>
      </w:r>
      <w:r>
        <w:rPr>
          <w:rFonts w:ascii="Calibri" w:hAnsi="Calibri" w:cs="Calibri"/>
          <w:color w:val="000000"/>
          <w:sz w:val="24"/>
          <w:szCs w:val="23"/>
        </w:rPr>
        <w:t>.</w:t>
      </w:r>
      <w:r w:rsidRPr="00C97D84">
        <w:rPr>
          <w:rFonts w:ascii="Calibri" w:hAnsi="Calibri" w:cs="Calibri"/>
          <w:color w:val="000000"/>
          <w:sz w:val="24"/>
          <w:szCs w:val="23"/>
        </w:rPr>
        <w:t xml:space="preserve"> </w:t>
      </w:r>
    </w:p>
    <w:p w14:paraId="0AB0684F" w14:textId="77777777" w:rsidR="00355F62" w:rsidRPr="00AB1915" w:rsidRDefault="00355F62" w:rsidP="000307CA">
      <w:pPr>
        <w:pStyle w:val="ListParagraph"/>
        <w:widowControl w:val="0"/>
        <w:spacing w:after="0" w:line="240" w:lineRule="auto"/>
        <w:contextualSpacing w:val="0"/>
        <w:rPr>
          <w:rFonts w:ascii="Calibri" w:hAnsi="Calibri" w:cs="Calibri"/>
          <w:color w:val="000000"/>
          <w:sz w:val="24"/>
          <w:szCs w:val="23"/>
        </w:rPr>
      </w:pPr>
    </w:p>
    <w:p w14:paraId="7CF3509B" w14:textId="1FD8D157" w:rsidR="00A94AAB" w:rsidRPr="00D919D1" w:rsidRDefault="00A94AAB" w:rsidP="005C3D61">
      <w:pPr>
        <w:pStyle w:val="Title"/>
        <w:spacing w:after="0"/>
        <w:outlineLvl w:val="0"/>
        <w:rPr>
          <w:rStyle w:val="IntenseReference"/>
          <w:rFonts w:ascii="Calibri" w:hAnsi="Calibri" w:cs="Calibri"/>
          <w:b w:val="0"/>
          <w:bCs w:val="0"/>
          <w:color w:val="0070C0"/>
          <w:sz w:val="36"/>
          <w:szCs w:val="36"/>
        </w:rPr>
      </w:pPr>
      <w:bookmarkStart w:id="44" w:name="_Toc8137190"/>
      <w:bookmarkStart w:id="45" w:name="_Toc22628991"/>
      <w:r w:rsidRPr="00D919D1">
        <w:rPr>
          <w:rStyle w:val="IntenseReference"/>
          <w:rFonts w:ascii="Calibri" w:hAnsi="Calibri" w:cs="Calibri"/>
          <w:b w:val="0"/>
          <w:bCs w:val="0"/>
          <w:color w:val="0070C0"/>
          <w:sz w:val="36"/>
          <w:szCs w:val="36"/>
        </w:rPr>
        <w:t>Relocation</w:t>
      </w:r>
      <w:bookmarkEnd w:id="44"/>
      <w:bookmarkEnd w:id="45"/>
    </w:p>
    <w:p w14:paraId="1D6841D2" w14:textId="422A8F6C" w:rsidR="00A94AAB" w:rsidRDefault="00A94AAB" w:rsidP="000307CA">
      <w:pPr>
        <w:pStyle w:val="JMWordDoc"/>
        <w:rPr>
          <w:color w:val="000000"/>
          <w:sz w:val="24"/>
          <w:szCs w:val="23"/>
        </w:rPr>
      </w:pPr>
      <w:r w:rsidRPr="00C97D84">
        <w:rPr>
          <w:color w:val="000000"/>
          <w:sz w:val="24"/>
          <w:szCs w:val="23"/>
        </w:rPr>
        <w:t xml:space="preserve">If existing tenants are required to move out of their units as a result of a project receiving federal funding, the developer must comply with both </w:t>
      </w:r>
      <w:r w:rsidR="00B52354">
        <w:rPr>
          <w:color w:val="000000"/>
          <w:sz w:val="24"/>
          <w:szCs w:val="23"/>
        </w:rPr>
        <w:t xml:space="preserve">the </w:t>
      </w:r>
      <w:r w:rsidRPr="00C97D84">
        <w:rPr>
          <w:color w:val="000000"/>
          <w:sz w:val="24"/>
          <w:szCs w:val="23"/>
        </w:rPr>
        <w:t xml:space="preserve">URA as well as HCDD’s Policies and Procedures for Relocation. The URA requires that the owner of the property receiving federal funding must provide </w:t>
      </w:r>
      <w:r w:rsidR="0080392F" w:rsidRPr="00C97D84">
        <w:rPr>
          <w:color w:val="000000"/>
          <w:sz w:val="24"/>
          <w:szCs w:val="23"/>
        </w:rPr>
        <w:t>notices</w:t>
      </w:r>
      <w:r w:rsidR="00954537">
        <w:rPr>
          <w:color w:val="000000"/>
          <w:sz w:val="24"/>
          <w:szCs w:val="23"/>
        </w:rPr>
        <w:t>, advisory services, moving cost,</w:t>
      </w:r>
      <w:r w:rsidRPr="00C97D84">
        <w:rPr>
          <w:color w:val="000000"/>
          <w:sz w:val="24"/>
          <w:szCs w:val="23"/>
        </w:rPr>
        <w:t xml:space="preserve"> and assistance to t</w:t>
      </w:r>
      <w:r w:rsidR="005006BA">
        <w:rPr>
          <w:color w:val="000000"/>
          <w:sz w:val="24"/>
          <w:szCs w:val="23"/>
        </w:rPr>
        <w:t xml:space="preserve">enants impacted by acquisition and </w:t>
      </w:r>
      <w:r w:rsidRPr="00C97D84">
        <w:rPr>
          <w:color w:val="000000"/>
          <w:sz w:val="24"/>
          <w:szCs w:val="23"/>
        </w:rPr>
        <w:t xml:space="preserve">demolition. </w:t>
      </w:r>
    </w:p>
    <w:p w14:paraId="711317A0" w14:textId="77777777" w:rsidR="00C85BA2" w:rsidRDefault="00C85BA2" w:rsidP="000307CA">
      <w:pPr>
        <w:pStyle w:val="JMWordDoc"/>
        <w:rPr>
          <w:color w:val="000000"/>
          <w:sz w:val="24"/>
          <w:szCs w:val="23"/>
        </w:rPr>
      </w:pPr>
    </w:p>
    <w:p w14:paraId="43B1E457" w14:textId="51E12E3D" w:rsidR="00A94AAB" w:rsidRDefault="00A94AAB" w:rsidP="000307CA">
      <w:pPr>
        <w:pStyle w:val="JMWordDoc"/>
        <w:rPr>
          <w:color w:val="000000"/>
          <w:sz w:val="24"/>
          <w:szCs w:val="23"/>
        </w:rPr>
      </w:pPr>
      <w:r w:rsidRPr="00C97D84">
        <w:rPr>
          <w:color w:val="000000"/>
          <w:sz w:val="24"/>
          <w:szCs w:val="23"/>
        </w:rPr>
        <w:t xml:space="preserve">HCDD will </w:t>
      </w:r>
      <w:r w:rsidR="00A32EDA">
        <w:rPr>
          <w:color w:val="000000"/>
          <w:sz w:val="24"/>
          <w:szCs w:val="23"/>
        </w:rPr>
        <w:t xml:space="preserve">prepare </w:t>
      </w:r>
      <w:r w:rsidRPr="00C97D84">
        <w:rPr>
          <w:color w:val="000000"/>
          <w:sz w:val="24"/>
          <w:szCs w:val="23"/>
        </w:rPr>
        <w:t xml:space="preserve">a Relocation Plan and budget for any proposals of </w:t>
      </w:r>
      <w:r w:rsidR="00435475">
        <w:rPr>
          <w:color w:val="000000"/>
          <w:sz w:val="24"/>
          <w:szCs w:val="23"/>
        </w:rPr>
        <w:t xml:space="preserve">occupied </w:t>
      </w:r>
      <w:r w:rsidR="0080392F" w:rsidRPr="00C97D84">
        <w:rPr>
          <w:color w:val="000000"/>
          <w:sz w:val="24"/>
          <w:szCs w:val="23"/>
        </w:rPr>
        <w:t>developments</w:t>
      </w:r>
      <w:r w:rsidRPr="00C97D84">
        <w:rPr>
          <w:color w:val="000000"/>
          <w:sz w:val="24"/>
          <w:szCs w:val="23"/>
        </w:rPr>
        <w:t xml:space="preserve"> that will require relocation of current/displaced residents. The requirements include, but are not limited to: recordkeeping, document submittals, monthly reporting, and providing documentation related to efforts made to meet compliance to the URA.</w:t>
      </w:r>
      <w:r>
        <w:rPr>
          <w:color w:val="000000"/>
          <w:sz w:val="24"/>
          <w:szCs w:val="23"/>
        </w:rPr>
        <w:t xml:space="preserve"> </w:t>
      </w:r>
      <w:r w:rsidRPr="00C97D84">
        <w:rPr>
          <w:color w:val="000000"/>
          <w:sz w:val="24"/>
          <w:szCs w:val="23"/>
        </w:rPr>
        <w:t xml:space="preserve">Projects are subject to monitoring compliance reviews. </w:t>
      </w:r>
    </w:p>
    <w:p w14:paraId="77ABBDD1" w14:textId="129DFFA0" w:rsidR="00592B5C" w:rsidRDefault="00592B5C" w:rsidP="000307CA">
      <w:pPr>
        <w:pStyle w:val="JMWordDoc"/>
        <w:rPr>
          <w:color w:val="000000"/>
          <w:sz w:val="24"/>
          <w:szCs w:val="23"/>
        </w:rPr>
      </w:pPr>
    </w:p>
    <w:p w14:paraId="7168C817" w14:textId="14CD603B" w:rsidR="00592B5C" w:rsidRPr="00034361" w:rsidRDefault="005B268F" w:rsidP="00592B5C">
      <w:pPr>
        <w:pStyle w:val="Heading2"/>
        <w:spacing w:before="0" w:line="240" w:lineRule="auto"/>
        <w:rPr>
          <w:color w:val="5B9BD5" w:themeColor="accent5"/>
        </w:rPr>
      </w:pPr>
      <w:bookmarkStart w:id="46" w:name="_Toc22628992"/>
      <w:r>
        <w:rPr>
          <w:color w:val="5B9BD5" w:themeColor="accent5"/>
        </w:rPr>
        <w:t>Moving Costs</w:t>
      </w:r>
      <w:bookmarkEnd w:id="46"/>
      <w:r>
        <w:rPr>
          <w:color w:val="5B9BD5" w:themeColor="accent5"/>
        </w:rPr>
        <w:t xml:space="preserve"> </w:t>
      </w:r>
    </w:p>
    <w:p w14:paraId="2FDBE602" w14:textId="04B6CE16" w:rsidR="008E7AD4" w:rsidRDefault="005B268F" w:rsidP="00924240">
      <w:pPr>
        <w:pStyle w:val="JMWordDoc"/>
        <w:adjustRightInd w:val="0"/>
        <w:jc w:val="both"/>
        <w:rPr>
          <w:color w:val="000000"/>
          <w:sz w:val="24"/>
          <w:szCs w:val="23"/>
        </w:rPr>
      </w:pPr>
      <w:r w:rsidRPr="00A02D3C">
        <w:rPr>
          <w:color w:val="000000"/>
          <w:sz w:val="24"/>
          <w:szCs w:val="23"/>
        </w:rPr>
        <w:t>If the buyout is a voluntary acquisition of an owner-occupied residence, owners are not entitled to assistance under the URA. However, moving expenses may be provided if funds are available under the maximum award after buy-out and demolition costs are covered. For voluntary, owner-occupied buyouts moving expenses will be covered as a stipend of $</w:t>
      </w:r>
      <w:r w:rsidR="00A32EDA">
        <w:rPr>
          <w:color w:val="000000"/>
          <w:sz w:val="24"/>
          <w:szCs w:val="23"/>
        </w:rPr>
        <w:t>5,000</w:t>
      </w:r>
      <w:r w:rsidRPr="00A02D3C">
        <w:rPr>
          <w:color w:val="000000"/>
          <w:sz w:val="24"/>
          <w:szCs w:val="23"/>
        </w:rPr>
        <w:t xml:space="preserve">. </w:t>
      </w:r>
    </w:p>
    <w:p w14:paraId="529790B3" w14:textId="77777777" w:rsidR="008E7AD4" w:rsidRPr="00C97D84" w:rsidRDefault="008E7AD4" w:rsidP="00924240">
      <w:pPr>
        <w:pStyle w:val="JMWordDoc"/>
        <w:adjustRightInd w:val="0"/>
        <w:jc w:val="both"/>
        <w:rPr>
          <w:color w:val="000000"/>
          <w:sz w:val="24"/>
          <w:szCs w:val="23"/>
        </w:rPr>
      </w:pPr>
    </w:p>
    <w:p w14:paraId="5CA6313A" w14:textId="133F2B63" w:rsidR="00034361" w:rsidRPr="00C97D84" w:rsidRDefault="00034361" w:rsidP="000307CA">
      <w:pPr>
        <w:pStyle w:val="Title"/>
        <w:spacing w:after="0"/>
        <w:jc w:val="both"/>
        <w:outlineLvl w:val="0"/>
        <w:rPr>
          <w:rStyle w:val="IntenseReference"/>
          <w:rFonts w:ascii="Calibri" w:hAnsi="Calibri" w:cs="Calibri"/>
          <w:b w:val="0"/>
          <w:bCs w:val="0"/>
          <w:color w:val="0070C0"/>
          <w:sz w:val="36"/>
          <w:szCs w:val="36"/>
        </w:rPr>
      </w:pPr>
      <w:bookmarkStart w:id="47" w:name="_Toc8137191"/>
      <w:bookmarkStart w:id="48" w:name="_Toc22628993"/>
      <w:r w:rsidRPr="00C97D84">
        <w:rPr>
          <w:rStyle w:val="IntenseReference"/>
          <w:rFonts w:ascii="Calibri" w:hAnsi="Calibri" w:cs="Calibri"/>
          <w:b w:val="0"/>
          <w:bCs w:val="0"/>
          <w:color w:val="0070C0"/>
          <w:sz w:val="36"/>
          <w:szCs w:val="36"/>
        </w:rPr>
        <w:t>Cross Cutting Federal Regulations</w:t>
      </w:r>
      <w:bookmarkEnd w:id="47"/>
      <w:bookmarkEnd w:id="48"/>
    </w:p>
    <w:p w14:paraId="3E5D3A00" w14:textId="43C3341C" w:rsidR="004E0BE6" w:rsidRDefault="00034361" w:rsidP="00976B80">
      <w:pPr>
        <w:spacing w:after="0" w:line="240" w:lineRule="auto"/>
        <w:rPr>
          <w:rFonts w:ascii="Calibri" w:hAnsi="Calibri" w:cs="Calibri"/>
          <w:color w:val="000000"/>
          <w:sz w:val="24"/>
          <w:szCs w:val="23"/>
        </w:rPr>
      </w:pPr>
      <w:r>
        <w:rPr>
          <w:rFonts w:ascii="Calibri" w:hAnsi="Calibri" w:cs="Calibri"/>
          <w:color w:val="000000"/>
          <w:sz w:val="24"/>
          <w:szCs w:val="23"/>
        </w:rPr>
        <w:t>This program will be designed and implemented in compliance with cross-cutting federal regulations when applicable, including</w:t>
      </w:r>
      <w:r w:rsidRPr="00DB4A60">
        <w:rPr>
          <w:rFonts w:ascii="Calibri" w:hAnsi="Calibri" w:cs="Calibri"/>
          <w:color w:val="000000"/>
          <w:sz w:val="24"/>
          <w:szCs w:val="23"/>
        </w:rPr>
        <w:t xml:space="preserve">: </w:t>
      </w:r>
    </w:p>
    <w:p w14:paraId="32B2E260" w14:textId="77777777" w:rsidR="00524B3D" w:rsidRPr="00976B80" w:rsidRDefault="00524B3D" w:rsidP="00976B80">
      <w:pPr>
        <w:spacing w:after="0" w:line="240" w:lineRule="auto"/>
        <w:rPr>
          <w:color w:val="000000"/>
          <w:sz w:val="24"/>
          <w:szCs w:val="23"/>
        </w:rPr>
      </w:pPr>
    </w:p>
    <w:p w14:paraId="2EC6D933" w14:textId="4C515232" w:rsidR="00034361" w:rsidRPr="00034361" w:rsidRDefault="00034361" w:rsidP="000307CA">
      <w:pPr>
        <w:pStyle w:val="Heading2"/>
        <w:spacing w:before="0" w:line="240" w:lineRule="auto"/>
        <w:rPr>
          <w:color w:val="5B9BD5" w:themeColor="accent5"/>
        </w:rPr>
      </w:pPr>
      <w:bookmarkStart w:id="49" w:name="_Toc525745075"/>
      <w:bookmarkStart w:id="50" w:name="_Toc534722144"/>
      <w:bookmarkStart w:id="51" w:name="_Toc8137192"/>
      <w:bookmarkStart w:id="52" w:name="_Toc22628994"/>
      <w:r w:rsidRPr="00034361">
        <w:rPr>
          <w:color w:val="5B9BD5" w:themeColor="accent5"/>
        </w:rPr>
        <w:t>Davis-Bacon Labor Standards</w:t>
      </w:r>
      <w:bookmarkEnd w:id="49"/>
      <w:bookmarkEnd w:id="50"/>
      <w:bookmarkEnd w:id="51"/>
      <w:bookmarkEnd w:id="52"/>
    </w:p>
    <w:p w14:paraId="60AB9E61" w14:textId="7407B045" w:rsidR="004E0BE6" w:rsidRDefault="00034361" w:rsidP="000307CA">
      <w:pPr>
        <w:pStyle w:val="BodyText"/>
        <w:widowControl/>
        <w:tabs>
          <w:tab w:val="left" w:pos="10080"/>
        </w:tabs>
        <w:rPr>
          <w:rFonts w:ascii="Calibri" w:eastAsiaTheme="minorHAnsi" w:hAnsi="Calibri" w:cs="Calibri"/>
        </w:rPr>
      </w:pPr>
      <w:r w:rsidRPr="0022369F">
        <w:rPr>
          <w:rFonts w:ascii="Calibri" w:eastAsiaTheme="minorHAnsi" w:hAnsi="Calibri" w:cs="Calibri"/>
        </w:rPr>
        <w:t xml:space="preserve">The </w:t>
      </w:r>
      <w:hyperlink r:id="rId15">
        <w:r w:rsidRPr="0022369F">
          <w:rPr>
            <w:rFonts w:ascii="Calibri" w:eastAsiaTheme="minorHAnsi" w:hAnsi="Calibri" w:cs="Calibri"/>
          </w:rPr>
          <w:t>Davis-Bacon Act and Related Acts (</w:t>
        </w:r>
        <w:r w:rsidR="00B52354">
          <w:rPr>
            <w:rFonts w:ascii="Calibri" w:eastAsiaTheme="minorHAnsi" w:hAnsi="Calibri" w:cs="Calibri"/>
          </w:rPr>
          <w:t>“</w:t>
        </w:r>
        <w:r w:rsidRPr="0022369F">
          <w:rPr>
            <w:rFonts w:ascii="Calibri" w:eastAsiaTheme="minorHAnsi" w:hAnsi="Calibri" w:cs="Calibri"/>
          </w:rPr>
          <w:t>DBRA</w:t>
        </w:r>
        <w:r w:rsidR="00B52354">
          <w:rPr>
            <w:rFonts w:ascii="Calibri" w:eastAsiaTheme="minorHAnsi" w:hAnsi="Calibri" w:cs="Calibri"/>
          </w:rPr>
          <w:t>”</w:t>
        </w:r>
        <w:r w:rsidRPr="0022369F">
          <w:rPr>
            <w:rFonts w:ascii="Calibri" w:eastAsiaTheme="minorHAnsi" w:hAnsi="Calibri" w:cs="Calibri"/>
          </w:rPr>
          <w:t>)</w:t>
        </w:r>
      </w:hyperlink>
      <w:r w:rsidRPr="0022369F">
        <w:rPr>
          <w:rFonts w:ascii="Calibri" w:eastAsiaTheme="minorHAnsi" w:hAnsi="Calibri" w:cs="Calibri"/>
        </w:rPr>
        <w:t xml:space="preserve"> applies to contractors and subcontractors carrying out federally funded or assisted contracts in excess of $2,000 for the fringe benefits for corresponding work on similar projects in the area.  In some cases, City of Houston Prevailing Wage Law is in effect.  In these cases, the higher prevailing wage rate between the Federal Government and the State must be adhered to and made applicable.  For prime contracts of more than $100,000, contractors and subcontractors must also, under the provisions of the Contract Work Hours and Safety Standards Act, as amended, pay laborers and mechanics, including guards and watchmen, at least one and one-half times their regular pay for all hours worked over 40 in a work week.  Additionally, HCDD must follow the reporting requirements per HUD and the U.S. Department of Labor regulations.  This requirement also extends to HCDD’s </w:t>
      </w:r>
      <w:r>
        <w:rPr>
          <w:rFonts w:ascii="Calibri" w:eastAsiaTheme="minorHAnsi" w:hAnsi="Calibri" w:cs="Calibri"/>
        </w:rPr>
        <w:t>sub-recipients and contractors.</w:t>
      </w:r>
    </w:p>
    <w:p w14:paraId="451E7F50" w14:textId="4790D411" w:rsidR="004E0BE6" w:rsidRDefault="004E0BE6" w:rsidP="000307CA">
      <w:pPr>
        <w:pStyle w:val="BodyText"/>
        <w:widowControl/>
        <w:tabs>
          <w:tab w:val="left" w:pos="10080"/>
        </w:tabs>
        <w:rPr>
          <w:rFonts w:ascii="Calibri" w:eastAsiaTheme="minorHAnsi" w:hAnsi="Calibri" w:cs="Calibri"/>
        </w:rPr>
      </w:pPr>
    </w:p>
    <w:p w14:paraId="02A0BB9E" w14:textId="4D6C0134" w:rsidR="00661AF8" w:rsidRPr="0022369F" w:rsidRDefault="00F76E23" w:rsidP="00661AF8">
      <w:r w:rsidRPr="00241B92">
        <w:rPr>
          <w:rFonts w:ascii="Calibri" w:hAnsi="Calibri" w:cs="Calibri"/>
          <w:sz w:val="24"/>
          <w:szCs w:val="24"/>
        </w:rPr>
        <w:t xml:space="preserve">According to HUD Labor Relations Letter 2009-01; demolition, by itself, is not necessarily considered to be construction, alteration or repair (i.e. activities to which Davis-Bacon requirements may apply). Therefore, in most cases, demolition is not covered by Davis-Bacon requirements unless it will be followed by Davis-Bacon – covered construction. </w:t>
      </w:r>
    </w:p>
    <w:p w14:paraId="68F56D15" w14:textId="5EEFB7FB" w:rsidR="00034361" w:rsidRPr="00034361" w:rsidRDefault="00034361" w:rsidP="000307CA">
      <w:pPr>
        <w:pStyle w:val="Heading2"/>
        <w:spacing w:before="0" w:line="240" w:lineRule="auto"/>
        <w:rPr>
          <w:color w:val="5B9BD5" w:themeColor="accent5"/>
        </w:rPr>
      </w:pPr>
      <w:bookmarkStart w:id="53" w:name="_Toc525745076"/>
      <w:bookmarkStart w:id="54" w:name="_Toc534722145"/>
      <w:bookmarkStart w:id="55" w:name="_Toc8137193"/>
      <w:bookmarkStart w:id="56" w:name="_Toc22628995"/>
      <w:r w:rsidRPr="00034361">
        <w:rPr>
          <w:color w:val="5B9BD5" w:themeColor="accent5"/>
        </w:rPr>
        <w:t>Equal Employment Opportunity</w:t>
      </w:r>
      <w:bookmarkEnd w:id="53"/>
      <w:bookmarkEnd w:id="54"/>
      <w:bookmarkEnd w:id="55"/>
      <w:bookmarkEnd w:id="56"/>
    </w:p>
    <w:p w14:paraId="2DC0E31F" w14:textId="2C8B52C3" w:rsidR="001E1389" w:rsidRDefault="00FD76D6" w:rsidP="000307CA">
      <w:pPr>
        <w:pStyle w:val="BodyText"/>
        <w:widowControl/>
        <w:tabs>
          <w:tab w:val="left" w:pos="10080"/>
        </w:tabs>
        <w:rPr>
          <w:rFonts w:ascii="Calibri" w:hAnsi="Calibri" w:cs="Calibri"/>
        </w:rPr>
      </w:pPr>
      <w:hyperlink r:id="rId16">
        <w:r w:rsidR="00034361" w:rsidRPr="0022369F">
          <w:rPr>
            <w:rFonts w:ascii="Calibri" w:eastAsiaTheme="minorHAnsi" w:hAnsi="Calibri" w:cs="Calibri"/>
          </w:rPr>
          <w:t>Executive Order 11246</w:t>
        </w:r>
      </w:hyperlink>
      <w:r w:rsidR="00034361" w:rsidRPr="0022369F">
        <w:rPr>
          <w:rFonts w:ascii="Calibri" w:eastAsiaTheme="minorHAnsi" w:hAnsi="Calibri" w:cs="Calibri"/>
        </w:rPr>
        <w:t xml:space="preserve">, Equal Employment Opportunity, as amended, prohibits federal contractors and federally-assisted construction contractors and subcontractors who do over </w:t>
      </w:r>
      <w:r w:rsidR="00034361" w:rsidRPr="0022369F">
        <w:rPr>
          <w:rFonts w:ascii="Calibri" w:hAnsi="Calibri" w:cs="Calibri"/>
        </w:rPr>
        <w:t>$10,000 in government business in one year from discriminating in employment decisions based on race, color, religion, sex, sexual orientation, gender identity, or national origin.  The Executive Order also requires government contractors to take affirmative action to ensure that equal opportunity is provided in all aspects of their employment.  This regulation is a</w:t>
      </w:r>
      <w:r w:rsidR="00034361">
        <w:rPr>
          <w:rFonts w:ascii="Calibri" w:hAnsi="Calibri" w:cs="Calibri"/>
        </w:rPr>
        <w:t>dhered to within HCDD programs.</w:t>
      </w:r>
    </w:p>
    <w:p w14:paraId="36F0BBEA" w14:textId="77777777" w:rsidR="001E1389" w:rsidRPr="0022369F" w:rsidRDefault="001E1389" w:rsidP="000307CA">
      <w:pPr>
        <w:pStyle w:val="BodyText"/>
        <w:widowControl/>
        <w:tabs>
          <w:tab w:val="left" w:pos="10080"/>
        </w:tabs>
        <w:rPr>
          <w:rFonts w:ascii="Calibri" w:hAnsi="Calibri" w:cs="Calibri"/>
        </w:rPr>
      </w:pPr>
    </w:p>
    <w:p w14:paraId="55D10487" w14:textId="77777777" w:rsidR="00A6687F" w:rsidRDefault="00A6687F" w:rsidP="00A6687F">
      <w:pPr>
        <w:pStyle w:val="Heading2"/>
        <w:spacing w:before="0" w:line="240" w:lineRule="auto"/>
        <w:rPr>
          <w:color w:val="5B9BD5" w:themeColor="accent5"/>
        </w:rPr>
      </w:pPr>
      <w:bookmarkStart w:id="57" w:name="_Toc22628996"/>
      <w:bookmarkStart w:id="58" w:name="_Toc525745078"/>
      <w:bookmarkStart w:id="59" w:name="_Toc534722147"/>
      <w:r w:rsidRPr="00034361">
        <w:rPr>
          <w:color w:val="5B9BD5" w:themeColor="accent5"/>
        </w:rPr>
        <w:t xml:space="preserve">Fair </w:t>
      </w:r>
      <w:r>
        <w:rPr>
          <w:color w:val="5B9BD5" w:themeColor="accent5"/>
        </w:rPr>
        <w:t>Housing</w:t>
      </w:r>
      <w:bookmarkEnd w:id="57"/>
    </w:p>
    <w:p w14:paraId="7F400371" w14:textId="1C194EFC" w:rsidR="00A6687F" w:rsidRDefault="00A6687F" w:rsidP="00A6687F">
      <w:pPr>
        <w:pStyle w:val="BodyText"/>
        <w:widowControl/>
        <w:tabs>
          <w:tab w:val="left" w:pos="10080"/>
        </w:tabs>
        <w:rPr>
          <w:rFonts w:ascii="Calibri" w:eastAsiaTheme="minorHAnsi" w:hAnsi="Calibri" w:cs="Calibri"/>
        </w:rPr>
      </w:pPr>
      <w:r w:rsidRPr="00A02D3C">
        <w:rPr>
          <w:rFonts w:ascii="Calibri" w:eastAsiaTheme="minorHAnsi" w:hAnsi="Calibri" w:cs="Calibri"/>
        </w:rPr>
        <w:lastRenderedPageBreak/>
        <w:t xml:space="preserve">The </w:t>
      </w:r>
      <w:hyperlink r:id="rId17">
        <w:r w:rsidRPr="00A02D3C">
          <w:rPr>
            <w:rFonts w:ascii="Calibri" w:eastAsiaTheme="minorHAnsi" w:hAnsi="Calibri" w:cs="Calibri"/>
          </w:rPr>
          <w:t xml:space="preserve">Fair Housing Act </w:t>
        </w:r>
      </w:hyperlink>
      <w:r w:rsidRPr="00A02D3C">
        <w:rPr>
          <w:rFonts w:ascii="Calibri" w:eastAsiaTheme="minorHAnsi" w:hAnsi="Calibri" w:cs="Calibri"/>
        </w:rPr>
        <w:t xml:space="preserve">requires all grantees, sub-recipients, and/or developers funded in whole or in part with HUD financial assistance to certify that no person was excluded from participation in, denied the benefit of, or subjected to discrimination in any housing program or activity because of age, race, color, creed, religion, familial status, national origin, sexual orientation, military status, sex, disability, or marital status.  HCDD enforces the Fair Housing Act by ensuring that all grantees, sub-recipients, and/or developers meet the applicable Fair Housing and Affirmative Marketing requirements, provide a marketing plan, and report on compliance in accordance with the Fair Housing Act and the associated </w:t>
      </w:r>
      <w:hyperlink r:id="rId18">
        <w:r w:rsidRPr="00A02D3C">
          <w:rPr>
            <w:rFonts w:ascii="Calibri" w:eastAsiaTheme="minorHAnsi" w:hAnsi="Calibri" w:cs="Calibri"/>
          </w:rPr>
          <w:t>forms</w:t>
        </w:r>
      </w:hyperlink>
      <w:r w:rsidRPr="00A02D3C">
        <w:rPr>
          <w:rFonts w:ascii="Calibri" w:eastAsiaTheme="minorHAnsi" w:hAnsi="Calibri" w:cs="Calibri"/>
        </w:rPr>
        <w:t xml:space="preserve"> on HCDD website, where applicable.  The Affirmative Marketing Plan must comply with applicable Fair Housing Laws and demonstrate how the applicant will affirmatively further fair housing throughout applicable </w:t>
      </w:r>
      <w:r w:rsidR="00273E05">
        <w:rPr>
          <w:rFonts w:ascii="Calibri" w:eastAsiaTheme="minorHAnsi" w:hAnsi="Calibri" w:cs="Calibri"/>
        </w:rPr>
        <w:t xml:space="preserve">HCDD </w:t>
      </w:r>
      <w:r w:rsidRPr="00A02D3C">
        <w:rPr>
          <w:rFonts w:ascii="Calibri" w:eastAsiaTheme="minorHAnsi" w:hAnsi="Calibri" w:cs="Calibri"/>
        </w:rPr>
        <w:t>disaster recovery programs.</w:t>
      </w:r>
    </w:p>
    <w:p w14:paraId="10747856" w14:textId="77777777" w:rsidR="00A6687F" w:rsidRPr="00A6687F" w:rsidRDefault="00A6687F" w:rsidP="00A6687F">
      <w:pPr>
        <w:pStyle w:val="BodyText"/>
        <w:widowControl/>
        <w:tabs>
          <w:tab w:val="left" w:pos="10080"/>
        </w:tabs>
        <w:rPr>
          <w:rFonts w:ascii="Calibri" w:eastAsiaTheme="minorHAnsi" w:hAnsi="Calibri" w:cs="Calibri"/>
        </w:rPr>
      </w:pPr>
    </w:p>
    <w:p w14:paraId="6F4802EB" w14:textId="440421AE" w:rsidR="00034361" w:rsidRPr="00034361" w:rsidRDefault="00034361" w:rsidP="000307CA">
      <w:pPr>
        <w:pStyle w:val="Heading2"/>
        <w:spacing w:before="0" w:line="240" w:lineRule="auto"/>
        <w:rPr>
          <w:color w:val="5B9BD5" w:themeColor="accent5"/>
        </w:rPr>
      </w:pPr>
      <w:bookmarkStart w:id="60" w:name="_Toc8137194"/>
      <w:bookmarkStart w:id="61" w:name="_Toc22628997"/>
      <w:r w:rsidRPr="00034361">
        <w:rPr>
          <w:color w:val="5B9BD5" w:themeColor="accent5"/>
        </w:rPr>
        <w:t>Fair Labor Standards Act of 1938, as Amended</w:t>
      </w:r>
      <w:bookmarkEnd w:id="58"/>
      <w:bookmarkEnd w:id="59"/>
      <w:bookmarkEnd w:id="60"/>
      <w:bookmarkEnd w:id="61"/>
    </w:p>
    <w:p w14:paraId="05DD95F8" w14:textId="57CF8B3E" w:rsidR="00034361" w:rsidRDefault="00034361" w:rsidP="000307CA">
      <w:pPr>
        <w:pStyle w:val="BodyText"/>
        <w:widowControl/>
        <w:tabs>
          <w:tab w:val="left" w:pos="10080"/>
        </w:tabs>
        <w:rPr>
          <w:rFonts w:ascii="Calibri" w:eastAsiaTheme="minorHAnsi" w:hAnsi="Calibri" w:cs="Calibri"/>
        </w:rPr>
      </w:pPr>
      <w:r w:rsidRPr="0022369F">
        <w:rPr>
          <w:rFonts w:ascii="Calibri" w:eastAsiaTheme="minorHAnsi" w:hAnsi="Calibri" w:cs="Calibri"/>
        </w:rPr>
        <w:t xml:space="preserve">The Fair Labor Standards Act of 1938, as amended </w:t>
      </w:r>
      <w:r w:rsidR="00E56875">
        <w:rPr>
          <w:rFonts w:ascii="Calibri" w:eastAsiaTheme="minorHAnsi" w:hAnsi="Calibri" w:cs="Calibri"/>
        </w:rPr>
        <w:t>(“</w:t>
      </w:r>
      <w:r w:rsidRPr="0022369F">
        <w:rPr>
          <w:rFonts w:ascii="Calibri" w:eastAsiaTheme="minorHAnsi" w:hAnsi="Calibri" w:cs="Calibri"/>
        </w:rPr>
        <w:t>FLSA</w:t>
      </w:r>
      <w:r w:rsidR="00D20A2B">
        <w:rPr>
          <w:rFonts w:ascii="Calibri" w:eastAsiaTheme="minorHAnsi" w:hAnsi="Calibri" w:cs="Calibri"/>
        </w:rPr>
        <w:t>”</w:t>
      </w:r>
      <w:r w:rsidRPr="0022369F">
        <w:rPr>
          <w:rFonts w:ascii="Calibri" w:eastAsiaTheme="minorHAnsi" w:hAnsi="Calibri" w:cs="Calibri"/>
        </w:rPr>
        <w:t>), establishes the basic minimum wage levels for all work and requires the payment of overtime at the rate of at least one and one-half times the basic hourly rate of pay for hours worked more than 40 per week.  These labor standards are applicable to the entire construction contract, regardless if CDBG-DR funds finance only a portion of the project.  Excluding the exceptions listed below, all workers employed by contractors or subcontractors in the performance of construction work financed in whole or in part with assistance received under HCDD CDBG-DR program must be paid wages at rates not less than those prevailing on similar construction in the locality as determined by the Secretary of Labor in accordance with t</w:t>
      </w:r>
      <w:r>
        <w:rPr>
          <w:rFonts w:ascii="Calibri" w:eastAsiaTheme="minorHAnsi" w:hAnsi="Calibri" w:cs="Calibri"/>
        </w:rPr>
        <w:t xml:space="preserve">he </w:t>
      </w:r>
      <w:r w:rsidR="00D20A2B">
        <w:rPr>
          <w:rFonts w:ascii="Calibri" w:eastAsiaTheme="minorHAnsi" w:hAnsi="Calibri" w:cs="Calibri"/>
        </w:rPr>
        <w:t>DBRA,</w:t>
      </w:r>
      <w:r>
        <w:rPr>
          <w:rFonts w:ascii="Calibri" w:eastAsiaTheme="minorHAnsi" w:hAnsi="Calibri" w:cs="Calibri"/>
        </w:rPr>
        <w:t xml:space="preserve"> as amended.</w:t>
      </w:r>
    </w:p>
    <w:p w14:paraId="1DE36499" w14:textId="77777777" w:rsidR="004E0BE6" w:rsidRPr="0022369F" w:rsidRDefault="004E0BE6" w:rsidP="000307CA">
      <w:pPr>
        <w:pStyle w:val="BodyText"/>
        <w:widowControl/>
        <w:tabs>
          <w:tab w:val="left" w:pos="10080"/>
        </w:tabs>
        <w:rPr>
          <w:rFonts w:ascii="Calibri" w:eastAsiaTheme="minorHAnsi" w:hAnsi="Calibri" w:cs="Calibri"/>
        </w:rPr>
      </w:pPr>
    </w:p>
    <w:p w14:paraId="296FF630" w14:textId="77777777" w:rsidR="00034361" w:rsidRPr="00034361" w:rsidRDefault="00034361" w:rsidP="000307CA">
      <w:pPr>
        <w:pStyle w:val="Heading2"/>
        <w:spacing w:before="0" w:line="240" w:lineRule="auto"/>
        <w:rPr>
          <w:color w:val="5B9BD5" w:themeColor="accent5"/>
        </w:rPr>
      </w:pPr>
      <w:bookmarkStart w:id="62" w:name="_Toc525745079"/>
      <w:bookmarkStart w:id="63" w:name="_Toc534722148"/>
      <w:bookmarkStart w:id="64" w:name="_Toc8137195"/>
      <w:bookmarkStart w:id="65" w:name="_Toc22628998"/>
      <w:r w:rsidRPr="00034361">
        <w:rPr>
          <w:color w:val="5B9BD5" w:themeColor="accent5"/>
        </w:rPr>
        <w:t>Limited English Proficiency</w:t>
      </w:r>
      <w:bookmarkEnd w:id="62"/>
      <w:bookmarkEnd w:id="63"/>
      <w:bookmarkEnd w:id="64"/>
      <w:bookmarkEnd w:id="65"/>
    </w:p>
    <w:p w14:paraId="64DCE3A5" w14:textId="215F3A05" w:rsidR="00034361" w:rsidRDefault="00FD76D6" w:rsidP="000307CA">
      <w:pPr>
        <w:pStyle w:val="BodyText"/>
        <w:widowControl/>
        <w:tabs>
          <w:tab w:val="left" w:pos="10080"/>
        </w:tabs>
        <w:rPr>
          <w:rFonts w:ascii="Calibri" w:hAnsi="Calibri" w:cs="Calibri"/>
        </w:rPr>
      </w:pPr>
      <w:hyperlink r:id="rId19">
        <w:r w:rsidR="00034361" w:rsidRPr="0022369F">
          <w:rPr>
            <w:rFonts w:ascii="Calibri" w:hAnsi="Calibri" w:cs="Calibri"/>
          </w:rPr>
          <w:t>Federal</w:t>
        </w:r>
        <w:r w:rsidR="00034361" w:rsidRPr="0022369F">
          <w:rPr>
            <w:rFonts w:ascii="Calibri" w:hAnsi="Calibri" w:cs="Calibri"/>
            <w:spacing w:val="-15"/>
          </w:rPr>
          <w:t xml:space="preserve"> </w:t>
        </w:r>
        <w:r w:rsidR="00034361" w:rsidRPr="0022369F">
          <w:rPr>
            <w:rFonts w:ascii="Calibri" w:hAnsi="Calibri" w:cs="Calibri"/>
          </w:rPr>
          <w:t>Executive</w:t>
        </w:r>
        <w:r w:rsidR="00034361" w:rsidRPr="0022369F">
          <w:rPr>
            <w:rFonts w:ascii="Calibri" w:hAnsi="Calibri" w:cs="Calibri"/>
            <w:spacing w:val="-16"/>
          </w:rPr>
          <w:t xml:space="preserve"> </w:t>
        </w:r>
        <w:r w:rsidR="00034361" w:rsidRPr="0022369F">
          <w:rPr>
            <w:rFonts w:ascii="Calibri" w:hAnsi="Calibri" w:cs="Calibri"/>
          </w:rPr>
          <w:t>Order</w:t>
        </w:r>
        <w:r w:rsidR="00034361" w:rsidRPr="0022369F">
          <w:rPr>
            <w:rFonts w:ascii="Calibri" w:hAnsi="Calibri" w:cs="Calibri"/>
            <w:spacing w:val="-14"/>
          </w:rPr>
          <w:t xml:space="preserve"> </w:t>
        </w:r>
        <w:r w:rsidR="00034361" w:rsidRPr="0022369F">
          <w:rPr>
            <w:rFonts w:ascii="Calibri" w:hAnsi="Calibri" w:cs="Calibri"/>
          </w:rPr>
          <w:t>13166</w:t>
        </w:r>
        <w:r w:rsidR="00034361" w:rsidRPr="0022369F">
          <w:rPr>
            <w:rFonts w:ascii="Calibri" w:hAnsi="Calibri" w:cs="Calibri"/>
            <w:spacing w:val="-14"/>
          </w:rPr>
          <w:t xml:space="preserve"> </w:t>
        </w:r>
      </w:hyperlink>
      <w:r w:rsidR="00034361" w:rsidRPr="0022369F">
        <w:rPr>
          <w:rFonts w:ascii="Calibri" w:hAnsi="Calibri" w:cs="Calibri"/>
        </w:rPr>
        <w:t>requires</w:t>
      </w:r>
      <w:r w:rsidR="00034361" w:rsidRPr="0022369F">
        <w:rPr>
          <w:rFonts w:ascii="Calibri" w:hAnsi="Calibri" w:cs="Calibri"/>
          <w:spacing w:val="-15"/>
        </w:rPr>
        <w:t xml:space="preserve"> </w:t>
      </w:r>
      <w:r w:rsidR="00034361" w:rsidRPr="0022369F">
        <w:rPr>
          <w:rFonts w:ascii="Calibri" w:hAnsi="Calibri" w:cs="Calibri"/>
        </w:rPr>
        <w:t>HCDD</w:t>
      </w:r>
      <w:r w:rsidR="00034361" w:rsidRPr="0022369F">
        <w:rPr>
          <w:rFonts w:ascii="Calibri" w:hAnsi="Calibri" w:cs="Calibri"/>
          <w:spacing w:val="-15"/>
        </w:rPr>
        <w:t xml:space="preserve"> </w:t>
      </w:r>
      <w:r w:rsidR="00034361" w:rsidRPr="0022369F">
        <w:rPr>
          <w:rFonts w:ascii="Calibri" w:hAnsi="Calibri" w:cs="Calibri"/>
        </w:rPr>
        <w:t>and</w:t>
      </w:r>
      <w:r w:rsidR="00034361" w:rsidRPr="0022369F">
        <w:rPr>
          <w:rFonts w:ascii="Calibri" w:hAnsi="Calibri" w:cs="Calibri"/>
          <w:spacing w:val="-15"/>
        </w:rPr>
        <w:t xml:space="preserve"> </w:t>
      </w:r>
      <w:r w:rsidR="00034361" w:rsidRPr="0022369F">
        <w:rPr>
          <w:rFonts w:ascii="Calibri" w:hAnsi="Calibri" w:cs="Calibri"/>
        </w:rPr>
        <w:t>all</w:t>
      </w:r>
      <w:r w:rsidR="00034361" w:rsidRPr="0022369F">
        <w:rPr>
          <w:rFonts w:ascii="Calibri" w:hAnsi="Calibri" w:cs="Calibri"/>
          <w:spacing w:val="-15"/>
        </w:rPr>
        <w:t xml:space="preserve"> </w:t>
      </w:r>
      <w:r w:rsidR="00034361" w:rsidRPr="0022369F">
        <w:rPr>
          <w:rFonts w:ascii="Calibri" w:hAnsi="Calibri" w:cs="Calibri"/>
        </w:rPr>
        <w:t>satellite</w:t>
      </w:r>
      <w:r w:rsidR="00034361" w:rsidRPr="0022369F">
        <w:rPr>
          <w:rFonts w:ascii="Calibri" w:hAnsi="Calibri" w:cs="Calibri"/>
          <w:spacing w:val="-16"/>
        </w:rPr>
        <w:t xml:space="preserve"> </w:t>
      </w:r>
      <w:r w:rsidR="00034361" w:rsidRPr="0022369F">
        <w:rPr>
          <w:rFonts w:ascii="Calibri" w:hAnsi="Calibri" w:cs="Calibri"/>
        </w:rPr>
        <w:t>offices,</w:t>
      </w:r>
      <w:r w:rsidR="00034361" w:rsidRPr="0022369F">
        <w:rPr>
          <w:rFonts w:ascii="Calibri" w:hAnsi="Calibri" w:cs="Calibri"/>
          <w:spacing w:val="-14"/>
        </w:rPr>
        <w:t xml:space="preserve"> </w:t>
      </w:r>
      <w:r w:rsidR="00034361" w:rsidRPr="0022369F">
        <w:rPr>
          <w:rFonts w:ascii="Calibri" w:hAnsi="Calibri" w:cs="Calibri"/>
        </w:rPr>
        <w:t>programs,</w:t>
      </w:r>
      <w:r w:rsidR="00034361" w:rsidRPr="0022369F">
        <w:rPr>
          <w:rFonts w:ascii="Calibri" w:hAnsi="Calibri" w:cs="Calibri"/>
          <w:spacing w:val="-14"/>
        </w:rPr>
        <w:t xml:space="preserve"> </w:t>
      </w:r>
      <w:r w:rsidR="00034361" w:rsidRPr="0022369F">
        <w:rPr>
          <w:rFonts w:ascii="Calibri" w:hAnsi="Calibri" w:cs="Calibri"/>
        </w:rPr>
        <w:t xml:space="preserve">sub-recipients, contractors, subcontractors, and/or developers funded whole or in part with CDBG-DR financial assistance to ensure fair and meaningful access to programs and services for families and individuals with Limited English Proficiency </w:t>
      </w:r>
      <w:r w:rsidR="00E56875">
        <w:rPr>
          <w:rFonts w:ascii="Calibri" w:hAnsi="Calibri" w:cs="Calibri"/>
        </w:rPr>
        <w:t>(“</w:t>
      </w:r>
      <w:r w:rsidR="00034361" w:rsidRPr="0022369F">
        <w:rPr>
          <w:rFonts w:ascii="Calibri" w:hAnsi="Calibri" w:cs="Calibri"/>
        </w:rPr>
        <w:t>LEP</w:t>
      </w:r>
      <w:r w:rsidR="00D20A2B">
        <w:rPr>
          <w:rFonts w:ascii="Calibri" w:hAnsi="Calibri" w:cs="Calibri"/>
        </w:rPr>
        <w:t>”</w:t>
      </w:r>
      <w:r w:rsidR="00034361" w:rsidRPr="0022369F">
        <w:rPr>
          <w:rFonts w:ascii="Calibri" w:hAnsi="Calibri" w:cs="Calibri"/>
        </w:rPr>
        <w:t>) and/or deaf/hard of hearing.  HCDD ensures fair</w:t>
      </w:r>
      <w:r w:rsidR="00034361" w:rsidRPr="0022369F">
        <w:rPr>
          <w:rFonts w:ascii="Calibri" w:hAnsi="Calibri" w:cs="Calibri"/>
          <w:spacing w:val="-11"/>
        </w:rPr>
        <w:t xml:space="preserve"> </w:t>
      </w:r>
      <w:r w:rsidR="00034361" w:rsidRPr="0022369F">
        <w:rPr>
          <w:rFonts w:ascii="Calibri" w:hAnsi="Calibri" w:cs="Calibri"/>
        </w:rPr>
        <w:t>access</w:t>
      </w:r>
      <w:r w:rsidR="00034361" w:rsidRPr="0022369F">
        <w:rPr>
          <w:rFonts w:ascii="Calibri" w:hAnsi="Calibri" w:cs="Calibri"/>
          <w:spacing w:val="-11"/>
        </w:rPr>
        <w:t xml:space="preserve"> </w:t>
      </w:r>
      <w:r w:rsidR="00034361" w:rsidRPr="0022369F">
        <w:rPr>
          <w:rFonts w:ascii="Calibri" w:hAnsi="Calibri" w:cs="Calibri"/>
        </w:rPr>
        <w:t>through</w:t>
      </w:r>
      <w:r w:rsidR="00034361" w:rsidRPr="0022369F">
        <w:rPr>
          <w:rFonts w:ascii="Calibri" w:hAnsi="Calibri" w:cs="Calibri"/>
          <w:spacing w:val="-11"/>
        </w:rPr>
        <w:t xml:space="preserve"> </w:t>
      </w:r>
      <w:r w:rsidR="00034361" w:rsidRPr="0022369F">
        <w:rPr>
          <w:rFonts w:ascii="Calibri" w:hAnsi="Calibri" w:cs="Calibri"/>
        </w:rPr>
        <w:t>the</w:t>
      </w:r>
      <w:r w:rsidR="00034361" w:rsidRPr="0022369F">
        <w:rPr>
          <w:rFonts w:ascii="Calibri" w:hAnsi="Calibri" w:cs="Calibri"/>
          <w:spacing w:val="-12"/>
        </w:rPr>
        <w:t xml:space="preserve"> </w:t>
      </w:r>
      <w:r w:rsidR="00034361" w:rsidRPr="0022369F">
        <w:rPr>
          <w:rFonts w:ascii="Calibri" w:hAnsi="Calibri" w:cs="Calibri"/>
        </w:rPr>
        <w:t>implementation</w:t>
      </w:r>
      <w:r w:rsidR="00034361" w:rsidRPr="0022369F">
        <w:rPr>
          <w:rFonts w:ascii="Calibri" w:hAnsi="Calibri" w:cs="Calibri"/>
          <w:spacing w:val="-11"/>
        </w:rPr>
        <w:t xml:space="preserve"> </w:t>
      </w:r>
      <w:r w:rsidR="00034361" w:rsidRPr="0022369F">
        <w:rPr>
          <w:rFonts w:ascii="Calibri" w:hAnsi="Calibri" w:cs="Calibri"/>
        </w:rPr>
        <w:t>of</w:t>
      </w:r>
      <w:r w:rsidR="00034361" w:rsidRPr="0022369F">
        <w:rPr>
          <w:rFonts w:ascii="Calibri" w:hAnsi="Calibri" w:cs="Calibri"/>
          <w:spacing w:val="-12"/>
        </w:rPr>
        <w:t xml:space="preserve"> </w:t>
      </w:r>
      <w:r w:rsidR="00034361" w:rsidRPr="0022369F">
        <w:rPr>
          <w:rFonts w:ascii="Calibri" w:hAnsi="Calibri" w:cs="Calibri"/>
        </w:rPr>
        <w:t>a</w:t>
      </w:r>
      <w:r w:rsidR="00034361" w:rsidRPr="0022369F">
        <w:rPr>
          <w:rFonts w:ascii="Calibri" w:hAnsi="Calibri" w:cs="Calibri"/>
          <w:spacing w:val="-7"/>
        </w:rPr>
        <w:t xml:space="preserve"> </w:t>
      </w:r>
      <w:r w:rsidR="00034361" w:rsidRPr="0022369F">
        <w:rPr>
          <w:rFonts w:ascii="Calibri" w:hAnsi="Calibri" w:cs="Calibri"/>
        </w:rPr>
        <w:t>Language</w:t>
      </w:r>
      <w:r w:rsidR="00034361" w:rsidRPr="0022369F">
        <w:rPr>
          <w:rFonts w:ascii="Calibri" w:hAnsi="Calibri" w:cs="Calibri"/>
          <w:spacing w:val="-10"/>
        </w:rPr>
        <w:t xml:space="preserve"> </w:t>
      </w:r>
      <w:r w:rsidR="00034361" w:rsidRPr="0022369F">
        <w:rPr>
          <w:rFonts w:ascii="Calibri" w:hAnsi="Calibri" w:cs="Calibri"/>
        </w:rPr>
        <w:t>Assistance</w:t>
      </w:r>
      <w:r w:rsidR="00034361" w:rsidRPr="0022369F">
        <w:rPr>
          <w:rFonts w:ascii="Calibri" w:hAnsi="Calibri" w:cs="Calibri"/>
          <w:spacing w:val="-10"/>
        </w:rPr>
        <w:t xml:space="preserve"> </w:t>
      </w:r>
      <w:r w:rsidR="00034361" w:rsidRPr="0022369F">
        <w:rPr>
          <w:rFonts w:ascii="Calibri" w:hAnsi="Calibri" w:cs="Calibri"/>
        </w:rPr>
        <w:t>Plan</w:t>
      </w:r>
      <w:r w:rsidR="00034361" w:rsidRPr="0022369F">
        <w:rPr>
          <w:rFonts w:ascii="Calibri" w:hAnsi="Calibri" w:cs="Calibri"/>
          <w:spacing w:val="-12"/>
        </w:rPr>
        <w:t xml:space="preserve"> </w:t>
      </w:r>
      <w:r w:rsidR="00E56875">
        <w:rPr>
          <w:rFonts w:ascii="Calibri" w:hAnsi="Calibri" w:cs="Calibri"/>
        </w:rPr>
        <w:t>(“</w:t>
      </w:r>
      <w:r w:rsidR="00034361" w:rsidRPr="0022369F">
        <w:rPr>
          <w:rFonts w:ascii="Calibri" w:hAnsi="Calibri" w:cs="Calibri"/>
        </w:rPr>
        <w:t>LAP</w:t>
      </w:r>
      <w:r w:rsidR="00D20A2B">
        <w:rPr>
          <w:rFonts w:ascii="Calibri" w:hAnsi="Calibri" w:cs="Calibri"/>
        </w:rPr>
        <w:t>”</w:t>
      </w:r>
      <w:r w:rsidR="00034361" w:rsidRPr="0022369F">
        <w:rPr>
          <w:rFonts w:ascii="Calibri" w:hAnsi="Calibri" w:cs="Calibri"/>
        </w:rPr>
        <w:t>),</w:t>
      </w:r>
      <w:r w:rsidR="00034361" w:rsidRPr="0022369F">
        <w:rPr>
          <w:rFonts w:ascii="Calibri" w:hAnsi="Calibri" w:cs="Calibri"/>
          <w:spacing w:val="-11"/>
        </w:rPr>
        <w:t xml:space="preserve"> </w:t>
      </w:r>
      <w:r w:rsidR="00034361" w:rsidRPr="0022369F">
        <w:rPr>
          <w:rFonts w:ascii="Calibri" w:hAnsi="Calibri" w:cs="Calibri"/>
        </w:rPr>
        <w:t>which</w:t>
      </w:r>
      <w:r w:rsidR="00034361" w:rsidRPr="0022369F">
        <w:rPr>
          <w:rFonts w:ascii="Calibri" w:hAnsi="Calibri" w:cs="Calibri"/>
          <w:spacing w:val="-11"/>
        </w:rPr>
        <w:t xml:space="preserve"> </w:t>
      </w:r>
      <w:r w:rsidR="00034361" w:rsidRPr="0022369F">
        <w:rPr>
          <w:rFonts w:ascii="Calibri" w:hAnsi="Calibri" w:cs="Calibri"/>
        </w:rPr>
        <w:t>includes</w:t>
      </w:r>
      <w:r w:rsidR="00034361" w:rsidRPr="0022369F">
        <w:rPr>
          <w:rFonts w:ascii="Calibri" w:hAnsi="Calibri" w:cs="Calibri"/>
          <w:spacing w:val="-11"/>
        </w:rPr>
        <w:t xml:space="preserve"> </w:t>
      </w:r>
      <w:r w:rsidR="00034361" w:rsidRPr="0022369F">
        <w:rPr>
          <w:rFonts w:ascii="Calibri" w:hAnsi="Calibri" w:cs="Calibri"/>
        </w:rPr>
        <w:t>non- English-based</w:t>
      </w:r>
      <w:r w:rsidR="00034361" w:rsidRPr="0022369F">
        <w:rPr>
          <w:rFonts w:ascii="Calibri" w:hAnsi="Calibri" w:cs="Calibri"/>
          <w:spacing w:val="-6"/>
        </w:rPr>
        <w:t xml:space="preserve"> </w:t>
      </w:r>
      <w:r w:rsidR="00034361" w:rsidRPr="0022369F">
        <w:rPr>
          <w:rFonts w:ascii="Calibri" w:hAnsi="Calibri" w:cs="Calibri"/>
        </w:rPr>
        <w:t>outreach,</w:t>
      </w:r>
      <w:r w:rsidR="00034361" w:rsidRPr="0022369F">
        <w:rPr>
          <w:rFonts w:ascii="Calibri" w:hAnsi="Calibri" w:cs="Calibri"/>
          <w:spacing w:val="-6"/>
        </w:rPr>
        <w:t xml:space="preserve"> </w:t>
      </w:r>
      <w:r w:rsidR="00034361" w:rsidRPr="0022369F">
        <w:rPr>
          <w:rFonts w:ascii="Calibri" w:hAnsi="Calibri" w:cs="Calibri"/>
        </w:rPr>
        <w:t>translation</w:t>
      </w:r>
      <w:r w:rsidR="00034361" w:rsidRPr="0022369F">
        <w:rPr>
          <w:rFonts w:ascii="Calibri" w:hAnsi="Calibri" w:cs="Calibri"/>
          <w:spacing w:val="-5"/>
        </w:rPr>
        <w:t xml:space="preserve"> </w:t>
      </w:r>
      <w:r w:rsidR="00034361" w:rsidRPr="0022369F">
        <w:rPr>
          <w:rFonts w:ascii="Calibri" w:hAnsi="Calibri" w:cs="Calibri"/>
        </w:rPr>
        <w:t>services</w:t>
      </w:r>
      <w:r w:rsidR="00034361" w:rsidRPr="0022369F">
        <w:rPr>
          <w:rFonts w:ascii="Calibri" w:hAnsi="Calibri" w:cs="Calibri"/>
          <w:spacing w:val="-6"/>
        </w:rPr>
        <w:t xml:space="preserve"> </w:t>
      </w:r>
      <w:r w:rsidR="00034361" w:rsidRPr="0022369F">
        <w:rPr>
          <w:rFonts w:ascii="Calibri" w:hAnsi="Calibri" w:cs="Calibri"/>
        </w:rPr>
        <w:t>of</w:t>
      </w:r>
      <w:r w:rsidR="00034361" w:rsidRPr="0022369F">
        <w:rPr>
          <w:rFonts w:ascii="Calibri" w:hAnsi="Calibri" w:cs="Calibri"/>
          <w:spacing w:val="-7"/>
        </w:rPr>
        <w:t xml:space="preserve"> </w:t>
      </w:r>
      <w:r w:rsidR="00034361" w:rsidRPr="0022369F">
        <w:rPr>
          <w:rFonts w:ascii="Calibri" w:hAnsi="Calibri" w:cs="Calibri"/>
        </w:rPr>
        <w:t>vital</w:t>
      </w:r>
      <w:r w:rsidR="00034361" w:rsidRPr="0022369F">
        <w:rPr>
          <w:rFonts w:ascii="Calibri" w:hAnsi="Calibri" w:cs="Calibri"/>
          <w:spacing w:val="-5"/>
        </w:rPr>
        <w:t xml:space="preserve"> </w:t>
      </w:r>
      <w:r w:rsidR="00034361" w:rsidRPr="0022369F">
        <w:rPr>
          <w:rFonts w:ascii="Calibri" w:hAnsi="Calibri" w:cs="Calibri"/>
        </w:rPr>
        <w:t>documents,</w:t>
      </w:r>
      <w:r w:rsidR="00034361" w:rsidRPr="0022369F">
        <w:rPr>
          <w:rFonts w:ascii="Calibri" w:hAnsi="Calibri" w:cs="Calibri"/>
          <w:spacing w:val="-6"/>
        </w:rPr>
        <w:t xml:space="preserve"> </w:t>
      </w:r>
      <w:r w:rsidR="00034361" w:rsidRPr="0022369F">
        <w:rPr>
          <w:rFonts w:ascii="Calibri" w:hAnsi="Calibri" w:cs="Calibri"/>
        </w:rPr>
        <w:t>free</w:t>
      </w:r>
      <w:r w:rsidR="00034361" w:rsidRPr="0022369F">
        <w:rPr>
          <w:rFonts w:ascii="Calibri" w:hAnsi="Calibri" w:cs="Calibri"/>
          <w:spacing w:val="-7"/>
        </w:rPr>
        <w:t xml:space="preserve"> </w:t>
      </w:r>
      <w:r w:rsidR="00034361" w:rsidRPr="0022369F">
        <w:rPr>
          <w:rFonts w:ascii="Calibri" w:hAnsi="Calibri" w:cs="Calibri"/>
        </w:rPr>
        <w:t>language</w:t>
      </w:r>
      <w:r w:rsidR="00034361" w:rsidRPr="0022369F">
        <w:rPr>
          <w:rFonts w:ascii="Calibri" w:hAnsi="Calibri" w:cs="Calibri"/>
          <w:spacing w:val="-4"/>
        </w:rPr>
        <w:t xml:space="preserve"> </w:t>
      </w:r>
      <w:r w:rsidR="00034361" w:rsidRPr="0022369F">
        <w:rPr>
          <w:rFonts w:ascii="Calibri" w:hAnsi="Calibri" w:cs="Calibri"/>
        </w:rPr>
        <w:t>assistance</w:t>
      </w:r>
      <w:r w:rsidR="00034361" w:rsidRPr="0022369F">
        <w:rPr>
          <w:rFonts w:ascii="Calibri" w:hAnsi="Calibri" w:cs="Calibri"/>
          <w:spacing w:val="-7"/>
        </w:rPr>
        <w:t xml:space="preserve"> </w:t>
      </w:r>
      <w:r w:rsidR="00034361" w:rsidRPr="0022369F">
        <w:rPr>
          <w:rFonts w:ascii="Calibri" w:hAnsi="Calibri" w:cs="Calibri"/>
        </w:rPr>
        <w:t>services, and staff training.  Refer</w:t>
      </w:r>
      <w:r w:rsidR="00034361" w:rsidRPr="0022369F">
        <w:rPr>
          <w:rFonts w:ascii="Calibri" w:hAnsi="Calibri" w:cs="Calibri"/>
          <w:spacing w:val="-14"/>
        </w:rPr>
        <w:t xml:space="preserve"> </w:t>
      </w:r>
      <w:r w:rsidR="00034361" w:rsidRPr="0022369F">
        <w:rPr>
          <w:rFonts w:ascii="Calibri" w:hAnsi="Calibri" w:cs="Calibri"/>
        </w:rPr>
        <w:t>to</w:t>
      </w:r>
      <w:r w:rsidR="00034361" w:rsidRPr="0022369F">
        <w:rPr>
          <w:rFonts w:ascii="Calibri" w:hAnsi="Calibri" w:cs="Calibri"/>
          <w:spacing w:val="-15"/>
        </w:rPr>
        <w:t xml:space="preserve"> </w:t>
      </w:r>
      <w:r w:rsidR="00034361" w:rsidRPr="0022369F">
        <w:rPr>
          <w:rFonts w:ascii="Calibri" w:hAnsi="Calibri" w:cs="Calibri"/>
        </w:rPr>
        <w:t>the</w:t>
      </w:r>
      <w:r w:rsidR="00034361" w:rsidRPr="0022369F">
        <w:rPr>
          <w:rFonts w:ascii="Calibri" w:hAnsi="Calibri" w:cs="Calibri"/>
          <w:spacing w:val="-14"/>
        </w:rPr>
        <w:t xml:space="preserve"> </w:t>
      </w:r>
      <w:r w:rsidR="00034361" w:rsidRPr="0022369F">
        <w:rPr>
          <w:rFonts w:ascii="Calibri" w:hAnsi="Calibri" w:cs="Calibri"/>
        </w:rPr>
        <w:t>“Language</w:t>
      </w:r>
      <w:r w:rsidR="00034361" w:rsidRPr="0022369F">
        <w:rPr>
          <w:rFonts w:ascii="Calibri" w:hAnsi="Calibri" w:cs="Calibri"/>
          <w:spacing w:val="-14"/>
        </w:rPr>
        <w:t xml:space="preserve"> </w:t>
      </w:r>
      <w:r w:rsidR="00034361" w:rsidRPr="0022369F">
        <w:rPr>
          <w:rFonts w:ascii="Calibri" w:hAnsi="Calibri" w:cs="Calibri"/>
        </w:rPr>
        <w:t>Assistance</w:t>
      </w:r>
      <w:r w:rsidR="00034361" w:rsidRPr="0022369F">
        <w:rPr>
          <w:rFonts w:ascii="Calibri" w:hAnsi="Calibri" w:cs="Calibri"/>
          <w:spacing w:val="-16"/>
        </w:rPr>
        <w:t xml:space="preserve"> </w:t>
      </w:r>
      <w:r w:rsidR="00034361" w:rsidRPr="0022369F">
        <w:rPr>
          <w:rFonts w:ascii="Calibri" w:hAnsi="Calibri" w:cs="Calibri"/>
        </w:rPr>
        <w:t>Plan”</w:t>
      </w:r>
      <w:r w:rsidR="00034361" w:rsidRPr="0022369F">
        <w:rPr>
          <w:rFonts w:ascii="Calibri" w:hAnsi="Calibri" w:cs="Calibri"/>
          <w:spacing w:val="-15"/>
        </w:rPr>
        <w:t xml:space="preserve"> </w:t>
      </w:r>
      <w:r w:rsidR="00034361" w:rsidRPr="0022369F">
        <w:rPr>
          <w:rFonts w:ascii="Calibri" w:hAnsi="Calibri" w:cs="Calibri"/>
        </w:rPr>
        <w:t>Provision</w:t>
      </w:r>
      <w:r w:rsidR="00034361" w:rsidRPr="0022369F">
        <w:rPr>
          <w:rFonts w:ascii="Calibri" w:hAnsi="Calibri" w:cs="Calibri"/>
          <w:spacing w:val="-14"/>
        </w:rPr>
        <w:t xml:space="preserve"> </w:t>
      </w:r>
      <w:r w:rsidR="00034361" w:rsidRPr="0022369F">
        <w:rPr>
          <w:rFonts w:ascii="Calibri" w:hAnsi="Calibri" w:cs="Calibri"/>
        </w:rPr>
        <w:t>of</w:t>
      </w:r>
      <w:r w:rsidR="00034361" w:rsidRPr="0022369F">
        <w:rPr>
          <w:rFonts w:ascii="Calibri" w:hAnsi="Calibri" w:cs="Calibri"/>
          <w:spacing w:val="-14"/>
        </w:rPr>
        <w:t xml:space="preserve"> </w:t>
      </w:r>
      <w:r w:rsidR="00034361" w:rsidRPr="0022369F">
        <w:rPr>
          <w:rFonts w:ascii="Calibri" w:hAnsi="Calibri" w:cs="Calibri"/>
        </w:rPr>
        <w:t>Language</w:t>
      </w:r>
      <w:r w:rsidR="00034361" w:rsidRPr="0022369F">
        <w:rPr>
          <w:rFonts w:ascii="Calibri" w:hAnsi="Calibri" w:cs="Calibri"/>
          <w:spacing w:val="-14"/>
        </w:rPr>
        <w:t xml:space="preserve"> </w:t>
      </w:r>
      <w:r w:rsidR="00034361" w:rsidRPr="0022369F">
        <w:rPr>
          <w:rFonts w:ascii="Calibri" w:hAnsi="Calibri" w:cs="Calibri"/>
        </w:rPr>
        <w:t>Assistance</w:t>
      </w:r>
      <w:r w:rsidR="00034361" w:rsidRPr="0022369F">
        <w:rPr>
          <w:rFonts w:ascii="Calibri" w:hAnsi="Calibri" w:cs="Calibri"/>
          <w:spacing w:val="-14"/>
        </w:rPr>
        <w:t xml:space="preserve"> </w:t>
      </w:r>
      <w:r w:rsidR="00034361" w:rsidRPr="0022369F">
        <w:rPr>
          <w:rFonts w:ascii="Calibri" w:hAnsi="Calibri" w:cs="Calibri"/>
        </w:rPr>
        <w:t>Services</w:t>
      </w:r>
      <w:r w:rsidR="00034361" w:rsidRPr="0022369F">
        <w:rPr>
          <w:rFonts w:ascii="Calibri" w:hAnsi="Calibri" w:cs="Calibri"/>
          <w:spacing w:val="-14"/>
        </w:rPr>
        <w:t xml:space="preserve"> </w:t>
      </w:r>
      <w:r w:rsidR="00034361" w:rsidRPr="0022369F">
        <w:rPr>
          <w:rFonts w:ascii="Calibri" w:hAnsi="Calibri" w:cs="Calibri"/>
        </w:rPr>
        <w:t>for</w:t>
      </w:r>
      <w:r w:rsidR="00034361" w:rsidRPr="0022369F">
        <w:rPr>
          <w:rFonts w:ascii="Calibri" w:hAnsi="Calibri" w:cs="Calibri"/>
          <w:spacing w:val="-15"/>
        </w:rPr>
        <w:t xml:space="preserve"> </w:t>
      </w:r>
      <w:r w:rsidR="00034361" w:rsidRPr="0022369F">
        <w:rPr>
          <w:rFonts w:ascii="Calibri" w:hAnsi="Calibri" w:cs="Calibri"/>
        </w:rPr>
        <w:t>additional guidance and</w:t>
      </w:r>
      <w:r w:rsidR="00034361" w:rsidRPr="0022369F">
        <w:rPr>
          <w:rFonts w:ascii="Calibri" w:hAnsi="Calibri" w:cs="Calibri"/>
          <w:spacing w:val="-2"/>
        </w:rPr>
        <w:t xml:space="preserve"> </w:t>
      </w:r>
      <w:r w:rsidR="00034361">
        <w:rPr>
          <w:rFonts w:ascii="Calibri" w:hAnsi="Calibri" w:cs="Calibri"/>
        </w:rPr>
        <w:t>protocols.</w:t>
      </w:r>
    </w:p>
    <w:p w14:paraId="77153185" w14:textId="77777777" w:rsidR="004E0BE6" w:rsidRPr="0022369F" w:rsidRDefault="004E0BE6" w:rsidP="000307CA">
      <w:pPr>
        <w:pStyle w:val="BodyText"/>
        <w:widowControl/>
        <w:tabs>
          <w:tab w:val="left" w:pos="10080"/>
        </w:tabs>
        <w:rPr>
          <w:rFonts w:ascii="Calibri" w:hAnsi="Calibri" w:cs="Calibri"/>
        </w:rPr>
      </w:pPr>
    </w:p>
    <w:p w14:paraId="23995C39" w14:textId="77777777" w:rsidR="00034361" w:rsidRPr="00034361" w:rsidRDefault="00034361" w:rsidP="000307CA">
      <w:pPr>
        <w:pStyle w:val="Heading2"/>
        <w:spacing w:before="0" w:line="240" w:lineRule="auto"/>
        <w:rPr>
          <w:color w:val="5B9BD5" w:themeColor="accent5"/>
        </w:rPr>
      </w:pPr>
      <w:bookmarkStart w:id="66" w:name="_Toc525745080"/>
      <w:bookmarkStart w:id="67" w:name="_Toc534722149"/>
      <w:bookmarkStart w:id="68" w:name="_Toc8137196"/>
      <w:bookmarkStart w:id="69" w:name="_Toc22628999"/>
      <w:r w:rsidRPr="00034361">
        <w:rPr>
          <w:color w:val="5B9BD5" w:themeColor="accent5"/>
        </w:rPr>
        <w:t>Minority- and/or Woman-Owned Business Enterprises</w:t>
      </w:r>
      <w:bookmarkEnd w:id="66"/>
      <w:bookmarkEnd w:id="67"/>
      <w:bookmarkEnd w:id="68"/>
      <w:bookmarkEnd w:id="69"/>
    </w:p>
    <w:p w14:paraId="66C5E8B2" w14:textId="5400ABE6" w:rsidR="00034361" w:rsidRDefault="00034361" w:rsidP="000307CA">
      <w:pPr>
        <w:pStyle w:val="BodyText"/>
        <w:widowControl/>
        <w:tabs>
          <w:tab w:val="left" w:pos="10080"/>
        </w:tabs>
        <w:rPr>
          <w:rFonts w:ascii="Calibri" w:hAnsi="Calibri" w:cs="Calibri"/>
        </w:rPr>
      </w:pPr>
      <w:r w:rsidRPr="0022369F">
        <w:rPr>
          <w:rFonts w:ascii="Calibri" w:hAnsi="Calibri" w:cs="Calibri"/>
        </w:rPr>
        <w:t xml:space="preserve">The Federal </w:t>
      </w:r>
      <w:hyperlink r:id="rId20">
        <w:r w:rsidRPr="0022369F">
          <w:rPr>
            <w:rFonts w:ascii="Calibri" w:hAnsi="Calibri" w:cs="Calibri"/>
          </w:rPr>
          <w:t xml:space="preserve">Executive Order 12432 </w:t>
        </w:r>
      </w:hyperlink>
      <w:r w:rsidRPr="0022369F">
        <w:rPr>
          <w:rFonts w:ascii="Calibri" w:hAnsi="Calibri" w:cs="Calibri"/>
        </w:rPr>
        <w:t xml:space="preserve">guidelines require selected federal agencies to promote and increase the utilization of Minority-Owned Business Enterprises </w:t>
      </w:r>
      <w:r w:rsidR="00E56875">
        <w:rPr>
          <w:rFonts w:ascii="Calibri" w:hAnsi="Calibri" w:cs="Calibri"/>
        </w:rPr>
        <w:t>(“</w:t>
      </w:r>
      <w:r w:rsidRPr="0022369F">
        <w:rPr>
          <w:rFonts w:ascii="Calibri" w:hAnsi="Calibri" w:cs="Calibri"/>
        </w:rPr>
        <w:t>MBEs</w:t>
      </w:r>
      <w:r w:rsidR="00D20A2B">
        <w:rPr>
          <w:rFonts w:ascii="Calibri" w:hAnsi="Calibri" w:cs="Calibri"/>
        </w:rPr>
        <w:t>”</w:t>
      </w:r>
      <w:r w:rsidRPr="0022369F">
        <w:rPr>
          <w:rFonts w:ascii="Calibri" w:hAnsi="Calibri" w:cs="Calibri"/>
        </w:rPr>
        <w:t xml:space="preserve">).  2 </w:t>
      </w:r>
      <w:r w:rsidR="00C821F6">
        <w:rPr>
          <w:rFonts w:ascii="Calibri" w:hAnsi="Calibri" w:cs="Calibri"/>
        </w:rPr>
        <w:t>C.F.R.</w:t>
      </w:r>
      <w:r w:rsidRPr="0022369F">
        <w:rPr>
          <w:rFonts w:ascii="Calibri" w:hAnsi="Calibri" w:cs="Calibri"/>
        </w:rPr>
        <w:t xml:space="preserve"> </w:t>
      </w:r>
      <w:r w:rsidR="00C821F6">
        <w:rPr>
          <w:rFonts w:ascii="Calibri" w:hAnsi="Calibri" w:cs="Calibri"/>
        </w:rPr>
        <w:t xml:space="preserve">§ </w:t>
      </w:r>
      <w:r w:rsidRPr="0022369F">
        <w:rPr>
          <w:rFonts w:ascii="Calibri" w:hAnsi="Calibri" w:cs="Calibri"/>
        </w:rPr>
        <w:t xml:space="preserve">200.321 requires the non-federal entity to take all necessary steps to ensure that all sub-recipients, contractors, sub- contractors, and/or developers funded in whole or in part with HUD CDBG-DR financial assistance ensure that contracts and other economic opportunities are directed to small and minority firms, women-owned business enterprises </w:t>
      </w:r>
      <w:r w:rsidR="00E56875">
        <w:rPr>
          <w:rFonts w:ascii="Calibri" w:hAnsi="Calibri" w:cs="Calibri"/>
        </w:rPr>
        <w:t>(“</w:t>
      </w:r>
      <w:r w:rsidRPr="0022369F">
        <w:rPr>
          <w:rFonts w:ascii="Calibri" w:hAnsi="Calibri" w:cs="Calibri"/>
        </w:rPr>
        <w:t>WBEs</w:t>
      </w:r>
      <w:r w:rsidR="00D20A2B">
        <w:rPr>
          <w:rFonts w:ascii="Calibri" w:hAnsi="Calibri" w:cs="Calibri"/>
        </w:rPr>
        <w:t>”</w:t>
      </w:r>
      <w:r w:rsidRPr="0022369F">
        <w:rPr>
          <w:rFonts w:ascii="Calibri" w:hAnsi="Calibri" w:cs="Calibri"/>
        </w:rPr>
        <w:t>), and labor su</w:t>
      </w:r>
      <w:bookmarkStart w:id="70" w:name="_Toc525745081"/>
      <w:r>
        <w:rPr>
          <w:rFonts w:ascii="Calibri" w:hAnsi="Calibri" w:cs="Calibri"/>
        </w:rPr>
        <w:t>rplus area firms when possible.</w:t>
      </w:r>
    </w:p>
    <w:p w14:paraId="6D352CE1" w14:textId="2BCA4D3A" w:rsidR="004E0BE6" w:rsidRDefault="004E0BE6" w:rsidP="000307CA">
      <w:pPr>
        <w:pStyle w:val="BodyText"/>
        <w:widowControl/>
        <w:tabs>
          <w:tab w:val="left" w:pos="10080"/>
        </w:tabs>
        <w:rPr>
          <w:rFonts w:ascii="Calibri" w:hAnsi="Calibri" w:cs="Calibri"/>
        </w:rPr>
      </w:pPr>
    </w:p>
    <w:p w14:paraId="34F41307" w14:textId="108FDD2A" w:rsidR="000367C7" w:rsidRPr="000367C7" w:rsidRDefault="000367C7" w:rsidP="000367C7">
      <w:pPr>
        <w:pStyle w:val="BodyText"/>
        <w:tabs>
          <w:tab w:val="left" w:pos="10080"/>
        </w:tabs>
        <w:rPr>
          <w:rFonts w:ascii="Calibri" w:hAnsi="Calibri" w:cs="Calibri"/>
        </w:rPr>
      </w:pPr>
      <w:r w:rsidRPr="000367C7">
        <w:rPr>
          <w:rFonts w:ascii="Calibri" w:hAnsi="Calibri" w:cs="Calibri"/>
        </w:rPr>
        <w:t xml:space="preserve">Proposer shall comply with the City’s MWSBE program as set out in Chapter 15, Article V of the City of Houston Code of Ordinances. Contractor shall make good faith efforts to award subcontracts or supply agreements in at least the value stated in this Agreement to MWBE’s. Contractor acknowledges that it has reviewed the requirements for good faith efforts on file with the City’s Office of Business </w:t>
      </w:r>
      <w:r w:rsidRPr="000367C7">
        <w:rPr>
          <w:rFonts w:ascii="Calibri" w:hAnsi="Calibri" w:cs="Calibri"/>
        </w:rPr>
        <w:lastRenderedPageBreak/>
        <w:t xml:space="preserve">Opportunity </w:t>
      </w:r>
      <w:r w:rsidR="00E56875">
        <w:rPr>
          <w:rFonts w:ascii="Calibri" w:hAnsi="Calibri" w:cs="Calibri"/>
        </w:rPr>
        <w:t>(“</w:t>
      </w:r>
      <w:r w:rsidRPr="000367C7">
        <w:rPr>
          <w:rFonts w:ascii="Calibri" w:hAnsi="Calibri" w:cs="Calibri"/>
        </w:rPr>
        <w:t>OBO</w:t>
      </w:r>
      <w:r w:rsidR="00D20A2B">
        <w:rPr>
          <w:rFonts w:ascii="Calibri" w:hAnsi="Calibri" w:cs="Calibri"/>
        </w:rPr>
        <w:t>”</w:t>
      </w:r>
      <w:r w:rsidRPr="000367C7">
        <w:rPr>
          <w:rFonts w:ascii="Calibri" w:hAnsi="Calibri" w:cs="Calibri"/>
        </w:rPr>
        <w:t xml:space="preserve">) and will comply with them.  </w:t>
      </w:r>
    </w:p>
    <w:p w14:paraId="128AC392" w14:textId="77777777" w:rsidR="000367C7" w:rsidRPr="000367C7" w:rsidRDefault="000367C7" w:rsidP="000367C7">
      <w:pPr>
        <w:pStyle w:val="BodyText"/>
        <w:tabs>
          <w:tab w:val="left" w:pos="10080"/>
        </w:tabs>
        <w:rPr>
          <w:rFonts w:ascii="Calibri" w:hAnsi="Calibri" w:cs="Calibri"/>
        </w:rPr>
      </w:pPr>
    </w:p>
    <w:p w14:paraId="707D6B36" w14:textId="77777777" w:rsidR="000367C7" w:rsidRPr="000367C7" w:rsidRDefault="000367C7" w:rsidP="000367C7">
      <w:pPr>
        <w:pStyle w:val="BodyText"/>
        <w:tabs>
          <w:tab w:val="left" w:pos="10080"/>
        </w:tabs>
        <w:rPr>
          <w:rFonts w:ascii="Calibri" w:hAnsi="Calibri" w:cs="Calibri"/>
        </w:rPr>
      </w:pPr>
      <w:r w:rsidRPr="000367C7">
        <w:rPr>
          <w:rFonts w:ascii="Calibri" w:hAnsi="Calibri" w:cs="Calibri"/>
        </w:rPr>
        <w:t xml:space="preserve">Any contract, agreement or other undertaking anticipated for construction work in excess of $1,000,000, or the supply of goods or non-personal or non-professional services in excess of $100,000, for which Competitive bids are required by law shall comply with Citywide Goals on projects administered by HCDD. </w:t>
      </w:r>
    </w:p>
    <w:p w14:paraId="1686F925" w14:textId="77777777" w:rsidR="000367C7" w:rsidRPr="000367C7" w:rsidRDefault="000367C7" w:rsidP="000367C7">
      <w:pPr>
        <w:pStyle w:val="BodyText"/>
        <w:tabs>
          <w:tab w:val="left" w:pos="10080"/>
        </w:tabs>
        <w:rPr>
          <w:rFonts w:ascii="Calibri" w:hAnsi="Calibri" w:cs="Calibri"/>
        </w:rPr>
      </w:pPr>
    </w:p>
    <w:p w14:paraId="0B017B39" w14:textId="713CAB8E" w:rsidR="001E1389" w:rsidRDefault="000367C7" w:rsidP="000307CA">
      <w:pPr>
        <w:pStyle w:val="BodyText"/>
        <w:widowControl/>
        <w:tabs>
          <w:tab w:val="left" w:pos="10080"/>
        </w:tabs>
        <w:rPr>
          <w:rFonts w:ascii="Calibri" w:hAnsi="Calibri" w:cs="Calibri"/>
        </w:rPr>
      </w:pPr>
      <w:r w:rsidRPr="000367C7">
        <w:rPr>
          <w:rFonts w:ascii="Calibri" w:hAnsi="Calibri" w:cs="Calibri"/>
        </w:rPr>
        <w:t>The Contractor shall complete the MWSBE Monthly Utilization Report and payment reporting in the Contract Compliance and Monitoring System B2GNow (available at https://houston.mwdbe.com/). The Contractor shall comply with further, applicable instructions regarding reporting and compliance, per program requirements.</w:t>
      </w:r>
    </w:p>
    <w:p w14:paraId="0162281F" w14:textId="77777777" w:rsidR="001E1389" w:rsidRPr="00AB1915" w:rsidRDefault="001E1389" w:rsidP="000307CA">
      <w:pPr>
        <w:pStyle w:val="BodyText"/>
        <w:widowControl/>
        <w:tabs>
          <w:tab w:val="left" w:pos="10080"/>
        </w:tabs>
        <w:rPr>
          <w:rFonts w:ascii="Calibri" w:hAnsi="Calibri" w:cs="Calibri"/>
        </w:rPr>
      </w:pPr>
    </w:p>
    <w:p w14:paraId="663B5C55" w14:textId="69FD063A" w:rsidR="00034361" w:rsidRPr="00034361" w:rsidRDefault="00034361" w:rsidP="000307CA">
      <w:pPr>
        <w:pStyle w:val="Heading2"/>
        <w:spacing w:before="0" w:line="240" w:lineRule="auto"/>
        <w:rPr>
          <w:color w:val="5B9BD5" w:themeColor="accent5"/>
        </w:rPr>
      </w:pPr>
      <w:bookmarkStart w:id="71" w:name="_Toc8137197"/>
      <w:bookmarkStart w:id="72" w:name="_Toc22629000"/>
      <w:r w:rsidRPr="00034361">
        <w:rPr>
          <w:color w:val="5B9BD5" w:themeColor="accent5"/>
        </w:rPr>
        <w:t>Section 3</w:t>
      </w:r>
      <w:bookmarkEnd w:id="70"/>
      <w:bookmarkEnd w:id="71"/>
      <w:bookmarkEnd w:id="72"/>
    </w:p>
    <w:p w14:paraId="4555963E" w14:textId="1B56F9A1" w:rsidR="00034361" w:rsidRDefault="00034361" w:rsidP="000307CA">
      <w:pPr>
        <w:pStyle w:val="BodyText"/>
        <w:widowControl/>
        <w:tabs>
          <w:tab w:val="left" w:pos="10080"/>
        </w:tabs>
        <w:rPr>
          <w:rFonts w:ascii="Calibri" w:hAnsi="Calibri" w:cs="Calibri"/>
        </w:rPr>
      </w:pPr>
      <w:r w:rsidRPr="0022369F">
        <w:rPr>
          <w:rFonts w:ascii="Calibri" w:hAnsi="Calibri" w:cs="Calibri"/>
        </w:rPr>
        <w:t>Section 3</w:t>
      </w:r>
      <w:r w:rsidR="00D20A2B">
        <w:rPr>
          <w:rFonts w:ascii="Calibri" w:hAnsi="Calibri" w:cs="Calibri"/>
        </w:rPr>
        <w:t xml:space="preserve">, as earlier defined, </w:t>
      </w:r>
      <w:r w:rsidR="00F8485B" w:rsidRPr="00F8485B">
        <w:rPr>
          <w:rFonts w:ascii="Calibri" w:hAnsi="Calibri" w:cs="Calibri"/>
        </w:rPr>
        <w:t>applies to activities under this program.</w:t>
      </w:r>
      <w:r w:rsidRPr="0022369F">
        <w:rPr>
          <w:rFonts w:ascii="Calibri" w:hAnsi="Calibri" w:cs="Calibri"/>
        </w:rPr>
        <w:t xml:space="preserve"> </w:t>
      </w:r>
      <w:r w:rsidR="00F8485B" w:rsidRPr="00094448">
        <w:rPr>
          <w:rFonts w:asciiTheme="minorHAnsi" w:hAnsiTheme="minorHAnsi" w:cstheme="minorHAnsi"/>
        </w:rPr>
        <w:t xml:space="preserve">Under Section 3, to the greatest extent feasible, for any contract award in excess of $100,000, the Contractor shall </w:t>
      </w:r>
      <w:r w:rsidR="00F8485B">
        <w:rPr>
          <w:rFonts w:asciiTheme="minorHAnsi" w:hAnsiTheme="minorHAnsi" w:cstheme="minorHAnsi"/>
        </w:rPr>
        <w:t>direct</w:t>
      </w:r>
      <w:r w:rsidR="00F8485B" w:rsidRPr="00094448">
        <w:rPr>
          <w:rFonts w:asciiTheme="minorHAnsi" w:hAnsiTheme="minorHAnsi" w:cstheme="minorHAnsi"/>
        </w:rPr>
        <w:t xml:space="preserve"> opportunities for</w:t>
      </w:r>
      <w:r w:rsidR="00F8485B">
        <w:rPr>
          <w:rFonts w:asciiTheme="minorHAnsi" w:hAnsiTheme="minorHAnsi" w:cstheme="minorHAnsi"/>
        </w:rPr>
        <w:t xml:space="preserve"> training and employment to low</w:t>
      </w:r>
      <w:r w:rsidR="00F8485B" w:rsidRPr="00094448">
        <w:rPr>
          <w:rFonts w:asciiTheme="minorHAnsi" w:hAnsiTheme="minorHAnsi" w:cstheme="minorHAnsi"/>
        </w:rPr>
        <w:t xml:space="preserve">-income residents of the City and shall </w:t>
      </w:r>
      <w:r w:rsidR="00F8485B">
        <w:rPr>
          <w:rFonts w:asciiTheme="minorHAnsi" w:hAnsiTheme="minorHAnsi" w:cstheme="minorHAnsi"/>
        </w:rPr>
        <w:t xml:space="preserve">direct </w:t>
      </w:r>
      <w:r w:rsidR="00F8485B" w:rsidRPr="00094448">
        <w:rPr>
          <w:rFonts w:asciiTheme="minorHAnsi" w:hAnsiTheme="minorHAnsi" w:cstheme="minorHAnsi"/>
        </w:rPr>
        <w:t>contract</w:t>
      </w:r>
      <w:r w:rsidR="00F8485B">
        <w:rPr>
          <w:rFonts w:asciiTheme="minorHAnsi" w:hAnsiTheme="minorHAnsi" w:cstheme="minorHAnsi"/>
        </w:rPr>
        <w:t xml:space="preserve">ing opportunities </w:t>
      </w:r>
      <w:r w:rsidR="00F8485B" w:rsidRPr="00094448">
        <w:rPr>
          <w:rFonts w:asciiTheme="minorHAnsi" w:hAnsiTheme="minorHAnsi" w:cstheme="minorHAnsi"/>
        </w:rPr>
        <w:t>for work in connection with the project to business concerns which are located in or owned in substantial part by persons residing in the City</w:t>
      </w:r>
      <w:r w:rsidR="000367C7">
        <w:rPr>
          <w:rFonts w:asciiTheme="minorHAnsi" w:hAnsiTheme="minorHAnsi" w:cstheme="minorHAnsi"/>
        </w:rPr>
        <w:t>.</w:t>
      </w:r>
    </w:p>
    <w:p w14:paraId="2E7EB289" w14:textId="0714DCD7" w:rsidR="004E0BE6" w:rsidRDefault="004E0BE6" w:rsidP="000307CA">
      <w:pPr>
        <w:pStyle w:val="BodyText"/>
        <w:widowControl/>
        <w:tabs>
          <w:tab w:val="left" w:pos="10080"/>
        </w:tabs>
        <w:rPr>
          <w:rFonts w:ascii="Calibri" w:hAnsi="Calibri" w:cs="Calibri"/>
        </w:rPr>
      </w:pPr>
    </w:p>
    <w:p w14:paraId="3E341E89" w14:textId="637BB7F8" w:rsidR="007562E9" w:rsidRDefault="000367C7" w:rsidP="007562E9">
      <w:pPr>
        <w:rPr>
          <w:rFonts w:ascii="Calibri" w:eastAsia="Times New Roman" w:hAnsi="Calibri" w:cs="Calibri"/>
          <w:sz w:val="24"/>
          <w:szCs w:val="24"/>
        </w:rPr>
      </w:pPr>
      <w:r w:rsidRPr="000367C7">
        <w:rPr>
          <w:rFonts w:ascii="Calibri" w:eastAsia="Times New Roman" w:hAnsi="Calibri" w:cs="Calibri"/>
          <w:sz w:val="24"/>
          <w:szCs w:val="24"/>
        </w:rPr>
        <w:t xml:space="preserve">Contractors shall comply with regulations under 24 </w:t>
      </w:r>
      <w:r w:rsidR="00C821F6">
        <w:rPr>
          <w:rFonts w:ascii="Calibri" w:eastAsia="Times New Roman" w:hAnsi="Calibri" w:cs="Calibri"/>
          <w:sz w:val="24"/>
          <w:szCs w:val="24"/>
        </w:rPr>
        <w:t>C.F.R.</w:t>
      </w:r>
      <w:r w:rsidRPr="000367C7">
        <w:rPr>
          <w:rFonts w:ascii="Calibri" w:eastAsia="Times New Roman" w:hAnsi="Calibri" w:cs="Calibri"/>
          <w:sz w:val="24"/>
          <w:szCs w:val="24"/>
        </w:rPr>
        <w:t xml:space="preserve"> Part 135 and will submit monthly Utilization Reports that document subcontractor’s participation that are subject to provisions of Section 3. Additionally, program administers will comply with reporting requirements, per HUD and GLO to document all actions taken to comply with Section 3 requirements. </w:t>
      </w:r>
    </w:p>
    <w:p w14:paraId="328280DB" w14:textId="77777777" w:rsidR="007562E9" w:rsidRPr="007562E9" w:rsidRDefault="007562E9" w:rsidP="007562E9">
      <w:pPr>
        <w:pStyle w:val="BodyText"/>
        <w:widowControl/>
        <w:tabs>
          <w:tab w:val="left" w:pos="10080"/>
        </w:tabs>
        <w:rPr>
          <w:rFonts w:ascii="Calibri" w:hAnsi="Calibri" w:cs="Calibri"/>
        </w:rPr>
      </w:pPr>
    </w:p>
    <w:p w14:paraId="5A015927" w14:textId="39D9D360" w:rsidR="00034361" w:rsidRPr="00034361" w:rsidRDefault="00034361" w:rsidP="000307CA">
      <w:pPr>
        <w:pStyle w:val="Heading2"/>
        <w:spacing w:before="0" w:line="240" w:lineRule="auto"/>
        <w:rPr>
          <w:color w:val="5B9BD5" w:themeColor="accent5"/>
        </w:rPr>
      </w:pPr>
      <w:bookmarkStart w:id="73" w:name="_Toc534722150"/>
      <w:bookmarkStart w:id="74" w:name="_Toc8137198"/>
      <w:bookmarkStart w:id="75" w:name="_Toc22629001"/>
      <w:r w:rsidRPr="00034361">
        <w:rPr>
          <w:color w:val="5B9BD5" w:themeColor="accent5"/>
        </w:rPr>
        <w:t>Residential Anti-Displacement</w:t>
      </w:r>
      <w:bookmarkEnd w:id="73"/>
      <w:bookmarkEnd w:id="74"/>
      <w:bookmarkEnd w:id="75"/>
    </w:p>
    <w:p w14:paraId="79F7570F" w14:textId="03E74559" w:rsidR="00034361" w:rsidRDefault="00034361" w:rsidP="000307CA">
      <w:pPr>
        <w:pStyle w:val="BodyText"/>
        <w:widowControl/>
        <w:tabs>
          <w:tab w:val="left" w:pos="10080"/>
        </w:tabs>
        <w:rPr>
          <w:rFonts w:ascii="Calibri" w:hAnsi="Calibri" w:cs="Calibri"/>
        </w:rPr>
      </w:pPr>
      <w:r w:rsidRPr="0022369F">
        <w:rPr>
          <w:rFonts w:ascii="Calibri" w:hAnsi="Calibri" w:cs="Calibri"/>
        </w:rPr>
        <w:t>All sub-recipients must follow HCDD’s Reside</w:t>
      </w:r>
      <w:r>
        <w:rPr>
          <w:rFonts w:ascii="Calibri" w:hAnsi="Calibri" w:cs="Calibri"/>
        </w:rPr>
        <w:t>ntial Anti-Displacement Policy.</w:t>
      </w:r>
    </w:p>
    <w:p w14:paraId="5A5C11D1" w14:textId="77777777" w:rsidR="004E0BE6" w:rsidRPr="0022369F" w:rsidRDefault="004E0BE6" w:rsidP="000307CA">
      <w:pPr>
        <w:pStyle w:val="BodyText"/>
        <w:widowControl/>
        <w:tabs>
          <w:tab w:val="left" w:pos="10080"/>
        </w:tabs>
        <w:rPr>
          <w:rFonts w:ascii="Calibri" w:hAnsi="Calibri" w:cs="Calibri"/>
        </w:rPr>
      </w:pPr>
    </w:p>
    <w:p w14:paraId="4A8E6C4D" w14:textId="77777777" w:rsidR="00034361" w:rsidRPr="00034361" w:rsidRDefault="00034361" w:rsidP="000307CA">
      <w:pPr>
        <w:pStyle w:val="Heading2"/>
        <w:spacing w:before="0" w:line="240" w:lineRule="auto"/>
        <w:rPr>
          <w:color w:val="5B9BD5" w:themeColor="accent5"/>
        </w:rPr>
      </w:pPr>
      <w:bookmarkStart w:id="76" w:name="_Toc525745083"/>
      <w:bookmarkStart w:id="77" w:name="_Toc534722151"/>
      <w:bookmarkStart w:id="78" w:name="_Toc8137199"/>
      <w:bookmarkStart w:id="79" w:name="_Toc22629002"/>
      <w:r w:rsidRPr="00034361">
        <w:rPr>
          <w:color w:val="5B9BD5" w:themeColor="accent5"/>
        </w:rPr>
        <w:t>Uniform Relocation Act and Real Property Acquisition</w:t>
      </w:r>
      <w:bookmarkEnd w:id="76"/>
      <w:bookmarkEnd w:id="77"/>
      <w:bookmarkEnd w:id="78"/>
      <w:bookmarkEnd w:id="79"/>
    </w:p>
    <w:p w14:paraId="54DD98D8" w14:textId="4512FB0E" w:rsidR="00034361" w:rsidRPr="00AB1915" w:rsidRDefault="00034361" w:rsidP="000307CA">
      <w:pPr>
        <w:tabs>
          <w:tab w:val="left" w:pos="10080"/>
        </w:tabs>
        <w:spacing w:after="0" w:line="240" w:lineRule="auto"/>
        <w:rPr>
          <w:rFonts w:ascii="Calibri" w:hAnsi="Calibri" w:cs="Calibri"/>
          <w:lang w:bidi="en-US"/>
        </w:rPr>
      </w:pPr>
      <w:r w:rsidRPr="00AB1915">
        <w:rPr>
          <w:rFonts w:ascii="Calibri" w:hAnsi="Calibri" w:cs="Calibri"/>
          <w:sz w:val="24"/>
          <w:szCs w:val="24"/>
          <w:lang w:bidi="en-US"/>
        </w:rPr>
        <w:t xml:space="preserve">The Program staff will comply with URA and real property acquisition as CDBG- DR federal funds, administered by HCDD and disbursed to sub-recipients and direct contractors and/or beneficiaries, are subject to the URA and/or Section 104(d) of the </w:t>
      </w:r>
      <w:r w:rsidR="00636655">
        <w:rPr>
          <w:rFonts w:ascii="Calibri" w:hAnsi="Calibri" w:cs="Calibri"/>
          <w:sz w:val="24"/>
          <w:szCs w:val="24"/>
          <w:lang w:bidi="en-US"/>
        </w:rPr>
        <w:t>HCDA</w:t>
      </w:r>
      <w:r w:rsidRPr="00AB1915">
        <w:rPr>
          <w:rFonts w:ascii="Calibri" w:hAnsi="Calibri" w:cs="Calibri"/>
          <w:sz w:val="24"/>
          <w:szCs w:val="24"/>
          <w:lang w:bidi="en-US"/>
        </w:rPr>
        <w:t xml:space="preserve">.  The applicable federal regulations are located at 49 </w:t>
      </w:r>
      <w:r w:rsidR="00C821F6">
        <w:rPr>
          <w:rFonts w:ascii="Calibri" w:hAnsi="Calibri" w:cs="Calibri"/>
          <w:sz w:val="24"/>
          <w:szCs w:val="24"/>
          <w:lang w:bidi="en-US"/>
        </w:rPr>
        <w:t>C.F.R.</w:t>
      </w:r>
      <w:r w:rsidRPr="00AB1915">
        <w:rPr>
          <w:rFonts w:ascii="Calibri" w:hAnsi="Calibri" w:cs="Calibri"/>
          <w:sz w:val="24"/>
          <w:szCs w:val="24"/>
          <w:lang w:bidi="en-US"/>
        </w:rPr>
        <w:t xml:space="preserve"> </w:t>
      </w:r>
      <w:r w:rsidR="00C821F6">
        <w:rPr>
          <w:rFonts w:ascii="Calibri" w:hAnsi="Calibri" w:cs="Calibri"/>
          <w:sz w:val="24"/>
          <w:szCs w:val="24"/>
          <w:lang w:bidi="en-US"/>
        </w:rPr>
        <w:t xml:space="preserve">Part </w:t>
      </w:r>
      <w:r w:rsidRPr="00AB1915">
        <w:rPr>
          <w:rFonts w:ascii="Calibri" w:hAnsi="Calibri" w:cs="Calibri"/>
          <w:sz w:val="24"/>
          <w:szCs w:val="24"/>
          <w:lang w:bidi="en-US"/>
        </w:rPr>
        <w:t xml:space="preserve">24 (URA), 24 </w:t>
      </w:r>
      <w:r w:rsidR="00C821F6">
        <w:rPr>
          <w:rFonts w:ascii="Calibri" w:hAnsi="Calibri" w:cs="Calibri"/>
          <w:sz w:val="24"/>
          <w:szCs w:val="24"/>
          <w:lang w:bidi="en-US"/>
        </w:rPr>
        <w:t>C.F.R.</w:t>
      </w:r>
      <w:r w:rsidRPr="00AB1915">
        <w:rPr>
          <w:rFonts w:ascii="Calibri" w:hAnsi="Calibri" w:cs="Calibri"/>
          <w:sz w:val="24"/>
          <w:szCs w:val="24"/>
          <w:lang w:bidi="en-US"/>
        </w:rPr>
        <w:t xml:space="preserve"> </w:t>
      </w:r>
      <w:r w:rsidR="00C821F6">
        <w:rPr>
          <w:rFonts w:ascii="Calibri" w:hAnsi="Calibri" w:cs="Calibri"/>
          <w:sz w:val="24"/>
          <w:szCs w:val="24"/>
          <w:lang w:bidi="en-US"/>
        </w:rPr>
        <w:t xml:space="preserve">§ </w:t>
      </w:r>
      <w:r w:rsidRPr="00AB1915">
        <w:rPr>
          <w:rFonts w:ascii="Calibri" w:hAnsi="Calibri" w:cs="Calibri"/>
          <w:sz w:val="24"/>
          <w:szCs w:val="24"/>
          <w:lang w:bidi="en-US"/>
        </w:rPr>
        <w:t>42</w:t>
      </w:r>
      <w:r w:rsidR="00C821F6">
        <w:rPr>
          <w:rFonts w:ascii="Calibri" w:hAnsi="Calibri" w:cs="Calibri"/>
          <w:sz w:val="24"/>
          <w:szCs w:val="24"/>
          <w:lang w:bidi="en-US"/>
        </w:rPr>
        <w:t>.</w:t>
      </w:r>
      <w:r w:rsidRPr="00AB1915">
        <w:rPr>
          <w:rFonts w:ascii="Calibri" w:hAnsi="Calibri" w:cs="Calibri"/>
          <w:sz w:val="24"/>
          <w:szCs w:val="24"/>
          <w:lang w:bidi="en-US"/>
        </w:rPr>
        <w:t>104(d)</w:t>
      </w:r>
      <w:r w:rsidR="00D20A2B">
        <w:rPr>
          <w:rFonts w:ascii="Calibri" w:hAnsi="Calibri" w:cs="Calibri"/>
          <w:sz w:val="24"/>
          <w:szCs w:val="24"/>
          <w:lang w:bidi="en-US"/>
        </w:rPr>
        <w:t xml:space="preserve"> (HCDA)</w:t>
      </w:r>
      <w:r w:rsidRPr="00AB1915">
        <w:rPr>
          <w:rFonts w:ascii="Calibri" w:hAnsi="Calibri" w:cs="Calibri"/>
          <w:sz w:val="24"/>
          <w:szCs w:val="24"/>
          <w:lang w:bidi="en-US"/>
        </w:rPr>
        <w:t xml:space="preserve">, and in the Real Estate Acquisition and Relocation Policy and Guidance Handbook (HUD Handbook 1378).  </w:t>
      </w:r>
      <w:r w:rsidRPr="00627E94">
        <w:rPr>
          <w:rFonts w:ascii="Calibri" w:hAnsi="Calibri" w:cs="Calibri"/>
          <w:sz w:val="24"/>
          <w:szCs w:val="24"/>
          <w:lang w:bidi="en-US"/>
        </w:rPr>
        <w:t>The March 5, 2013 Federal Register Notice (FR-5696-N-01) waived</w:t>
      </w:r>
      <w:r w:rsidRPr="00AB1915">
        <w:rPr>
          <w:rFonts w:ascii="Calibri" w:hAnsi="Calibri" w:cs="Calibri"/>
          <w:sz w:val="24"/>
          <w:szCs w:val="24"/>
          <w:lang w:bidi="en-US"/>
        </w:rPr>
        <w:t xml:space="preserve"> the one-for-one replacement requirements at Section 104(d)(2)(A)(i)-(ii) and (d)(3) and 24 </w:t>
      </w:r>
      <w:r w:rsidR="00C821F6">
        <w:rPr>
          <w:rFonts w:ascii="Calibri" w:hAnsi="Calibri" w:cs="Calibri"/>
          <w:sz w:val="24"/>
          <w:szCs w:val="24"/>
          <w:lang w:bidi="en-US"/>
        </w:rPr>
        <w:t>C.F.R.</w:t>
      </w:r>
      <w:r w:rsidRPr="00AB1915">
        <w:rPr>
          <w:rFonts w:ascii="Calibri" w:hAnsi="Calibri" w:cs="Calibri"/>
          <w:sz w:val="24"/>
          <w:szCs w:val="24"/>
          <w:lang w:bidi="en-US"/>
        </w:rPr>
        <w:t xml:space="preserve"> </w:t>
      </w:r>
      <w:r w:rsidR="00C821F6">
        <w:rPr>
          <w:rFonts w:ascii="Calibri" w:hAnsi="Calibri" w:cs="Calibri"/>
          <w:sz w:val="24"/>
          <w:szCs w:val="24"/>
          <w:lang w:bidi="en-US"/>
        </w:rPr>
        <w:t xml:space="preserve">§ </w:t>
      </w:r>
      <w:r w:rsidRPr="00AB1915">
        <w:rPr>
          <w:rFonts w:ascii="Calibri" w:hAnsi="Calibri" w:cs="Calibri"/>
          <w:sz w:val="24"/>
          <w:szCs w:val="24"/>
          <w:lang w:bidi="en-US"/>
        </w:rPr>
        <w:t>42.375</w:t>
      </w:r>
      <w:r w:rsidR="0080392F">
        <w:rPr>
          <w:rFonts w:ascii="Calibri" w:hAnsi="Calibri" w:cs="Calibri"/>
          <w:sz w:val="24"/>
          <w:szCs w:val="24"/>
          <w:lang w:bidi="en-US"/>
        </w:rPr>
        <w:t xml:space="preserve"> for Disaster Recovery funding only. HCDD encourages developers to use the on-site temporary relocation process in order to not trigger displacement.</w:t>
      </w:r>
    </w:p>
    <w:p w14:paraId="543D77BA" w14:textId="01C5072D" w:rsidR="00034361" w:rsidRPr="0044651B" w:rsidRDefault="00034361" w:rsidP="000307CA">
      <w:pPr>
        <w:pStyle w:val="BodyText"/>
        <w:widowControl/>
        <w:tabs>
          <w:tab w:val="left" w:pos="10080"/>
        </w:tabs>
        <w:rPr>
          <w:rFonts w:ascii="Calibri" w:hAnsi="Calibri" w:cs="Calibri"/>
        </w:rPr>
      </w:pPr>
      <w:r w:rsidRPr="0044651B">
        <w:rPr>
          <w:rFonts w:ascii="Calibri" w:hAnsi="Calibri" w:cs="Calibri"/>
        </w:rPr>
        <w:t xml:space="preserve">Sub-recipients or contractors must provide the following benefits to households or businesses that they </w:t>
      </w:r>
      <w:r w:rsidR="00731BF9">
        <w:rPr>
          <w:rFonts w:ascii="Calibri" w:hAnsi="Calibri" w:cs="Calibri"/>
        </w:rPr>
        <w:t xml:space="preserve">permanently </w:t>
      </w:r>
      <w:r w:rsidRPr="0044651B">
        <w:rPr>
          <w:rFonts w:ascii="Calibri" w:hAnsi="Calibri" w:cs="Calibri"/>
        </w:rPr>
        <w:t>displace:</w:t>
      </w:r>
    </w:p>
    <w:p w14:paraId="5526EB91" w14:textId="77777777" w:rsidR="00034361" w:rsidRPr="006865E5" w:rsidRDefault="00034361" w:rsidP="00E14863">
      <w:pPr>
        <w:pStyle w:val="ListParagraph"/>
        <w:numPr>
          <w:ilvl w:val="0"/>
          <w:numId w:val="13"/>
        </w:numPr>
        <w:tabs>
          <w:tab w:val="left" w:pos="1500"/>
          <w:tab w:val="left" w:pos="1501"/>
          <w:tab w:val="left" w:pos="10080"/>
        </w:tabs>
        <w:autoSpaceDE w:val="0"/>
        <w:autoSpaceDN w:val="0"/>
        <w:spacing w:after="0" w:line="240" w:lineRule="auto"/>
        <w:ind w:left="720"/>
        <w:contextualSpacing w:val="0"/>
        <w:rPr>
          <w:rFonts w:ascii="Calibri" w:eastAsia="Times New Roman" w:hAnsi="Calibri" w:cs="Calibri"/>
          <w:sz w:val="24"/>
          <w:szCs w:val="24"/>
          <w:lang w:bidi="en-US"/>
        </w:rPr>
      </w:pPr>
      <w:r w:rsidRPr="006865E5">
        <w:rPr>
          <w:rFonts w:ascii="Calibri" w:eastAsia="Times New Roman" w:hAnsi="Calibri" w:cs="Calibri"/>
          <w:sz w:val="24"/>
          <w:szCs w:val="24"/>
          <w:lang w:bidi="en-US"/>
        </w:rPr>
        <w:t>Relocation advisory services;</w:t>
      </w:r>
    </w:p>
    <w:p w14:paraId="51280113" w14:textId="043625AD" w:rsidR="00034361" w:rsidRPr="006865E5" w:rsidRDefault="00034361" w:rsidP="00E14863">
      <w:pPr>
        <w:pStyle w:val="ListParagraph"/>
        <w:numPr>
          <w:ilvl w:val="0"/>
          <w:numId w:val="13"/>
        </w:numPr>
        <w:tabs>
          <w:tab w:val="left" w:pos="1500"/>
          <w:tab w:val="left" w:pos="1501"/>
          <w:tab w:val="left" w:pos="10080"/>
        </w:tabs>
        <w:autoSpaceDE w:val="0"/>
        <w:autoSpaceDN w:val="0"/>
        <w:spacing w:after="0" w:line="240" w:lineRule="auto"/>
        <w:ind w:left="720"/>
        <w:contextualSpacing w:val="0"/>
        <w:rPr>
          <w:rFonts w:ascii="Calibri" w:hAnsi="Calibri" w:cs="Calibri"/>
          <w:sz w:val="24"/>
          <w:szCs w:val="24"/>
        </w:rPr>
      </w:pPr>
      <w:r w:rsidRPr="006865E5">
        <w:rPr>
          <w:rFonts w:ascii="Calibri" w:hAnsi="Calibri" w:cs="Calibri"/>
          <w:sz w:val="24"/>
          <w:szCs w:val="24"/>
        </w:rPr>
        <w:t xml:space="preserve">A </w:t>
      </w:r>
      <w:r w:rsidR="00435475">
        <w:rPr>
          <w:rFonts w:ascii="Calibri" w:hAnsi="Calibri" w:cs="Calibri"/>
          <w:sz w:val="24"/>
          <w:szCs w:val="24"/>
        </w:rPr>
        <w:t>General Information Notice, Notice of Eligibility, 90-day and a 30</w:t>
      </w:r>
      <w:r w:rsidRPr="006865E5">
        <w:rPr>
          <w:rFonts w:ascii="Calibri" w:hAnsi="Calibri" w:cs="Calibri"/>
          <w:sz w:val="24"/>
          <w:szCs w:val="24"/>
        </w:rPr>
        <w:t>-day notice to</w:t>
      </w:r>
      <w:r w:rsidRPr="006865E5">
        <w:rPr>
          <w:rFonts w:ascii="Calibri" w:hAnsi="Calibri" w:cs="Calibri"/>
          <w:spacing w:val="-7"/>
          <w:sz w:val="24"/>
          <w:szCs w:val="24"/>
        </w:rPr>
        <w:t xml:space="preserve"> </w:t>
      </w:r>
      <w:r w:rsidRPr="006865E5">
        <w:rPr>
          <w:rFonts w:ascii="Calibri" w:hAnsi="Calibri" w:cs="Calibri"/>
          <w:sz w:val="24"/>
          <w:szCs w:val="24"/>
        </w:rPr>
        <w:t>vacate;</w:t>
      </w:r>
    </w:p>
    <w:p w14:paraId="06BE2939" w14:textId="4C4B80FA" w:rsidR="00034361" w:rsidRPr="006865E5" w:rsidRDefault="00034361" w:rsidP="00E14863">
      <w:pPr>
        <w:pStyle w:val="ListParagraph"/>
        <w:numPr>
          <w:ilvl w:val="0"/>
          <w:numId w:val="13"/>
        </w:numPr>
        <w:tabs>
          <w:tab w:val="left" w:pos="1500"/>
          <w:tab w:val="left" w:pos="1501"/>
          <w:tab w:val="left" w:pos="10080"/>
        </w:tabs>
        <w:autoSpaceDE w:val="0"/>
        <w:autoSpaceDN w:val="0"/>
        <w:spacing w:after="0" w:line="240" w:lineRule="auto"/>
        <w:ind w:left="720"/>
        <w:contextualSpacing w:val="0"/>
        <w:rPr>
          <w:rFonts w:ascii="Calibri" w:hAnsi="Calibri" w:cs="Calibri"/>
          <w:sz w:val="24"/>
          <w:szCs w:val="24"/>
        </w:rPr>
      </w:pPr>
      <w:r w:rsidRPr="006865E5">
        <w:rPr>
          <w:rFonts w:ascii="Calibri" w:hAnsi="Calibri" w:cs="Calibri"/>
          <w:sz w:val="24"/>
          <w:szCs w:val="24"/>
        </w:rPr>
        <w:t xml:space="preserve">Reimbursement for </w:t>
      </w:r>
      <w:r w:rsidR="00731BF9">
        <w:rPr>
          <w:rFonts w:ascii="Calibri" w:hAnsi="Calibri" w:cs="Calibri"/>
          <w:sz w:val="24"/>
          <w:szCs w:val="24"/>
        </w:rPr>
        <w:t xml:space="preserve">out of pocket eligible expenses, </w:t>
      </w:r>
      <w:r w:rsidRPr="006865E5">
        <w:rPr>
          <w:rFonts w:ascii="Calibri" w:hAnsi="Calibri" w:cs="Calibri"/>
          <w:sz w:val="24"/>
          <w:szCs w:val="24"/>
        </w:rPr>
        <w:t>moving expenses;</w:t>
      </w:r>
      <w:r w:rsidRPr="006865E5">
        <w:rPr>
          <w:rFonts w:ascii="Calibri" w:hAnsi="Calibri" w:cs="Calibri"/>
          <w:spacing w:val="-4"/>
          <w:sz w:val="24"/>
          <w:szCs w:val="24"/>
        </w:rPr>
        <w:t xml:space="preserve"> </w:t>
      </w:r>
      <w:r w:rsidRPr="006865E5">
        <w:rPr>
          <w:rFonts w:ascii="Calibri" w:hAnsi="Calibri" w:cs="Calibri"/>
          <w:sz w:val="24"/>
          <w:szCs w:val="24"/>
        </w:rPr>
        <w:t>and</w:t>
      </w:r>
    </w:p>
    <w:p w14:paraId="4BB37424" w14:textId="2C500C4E" w:rsidR="006B0B3E" w:rsidRPr="006460DD" w:rsidRDefault="00034361" w:rsidP="006460DD">
      <w:pPr>
        <w:pStyle w:val="ListParagraph"/>
        <w:numPr>
          <w:ilvl w:val="0"/>
          <w:numId w:val="13"/>
        </w:numPr>
        <w:tabs>
          <w:tab w:val="left" w:pos="1500"/>
          <w:tab w:val="left" w:pos="1501"/>
          <w:tab w:val="left" w:pos="10080"/>
        </w:tabs>
        <w:autoSpaceDE w:val="0"/>
        <w:autoSpaceDN w:val="0"/>
        <w:spacing w:after="0" w:line="240" w:lineRule="auto"/>
        <w:ind w:left="720"/>
        <w:contextualSpacing w:val="0"/>
        <w:rPr>
          <w:rFonts w:ascii="Calibri" w:hAnsi="Calibri" w:cs="Calibri"/>
        </w:rPr>
      </w:pPr>
      <w:r w:rsidRPr="00AB1915">
        <w:rPr>
          <w:rFonts w:ascii="Calibri" w:hAnsi="Calibri" w:cs="Calibri"/>
          <w:sz w:val="24"/>
          <w:szCs w:val="24"/>
        </w:rPr>
        <w:t>Payments for added cost of renting or purchasing comparable replacement</w:t>
      </w:r>
      <w:r w:rsidRPr="00AB1915">
        <w:rPr>
          <w:rFonts w:ascii="Calibri" w:hAnsi="Calibri" w:cs="Calibri"/>
          <w:spacing w:val="-4"/>
          <w:sz w:val="24"/>
          <w:szCs w:val="24"/>
        </w:rPr>
        <w:t xml:space="preserve"> </w:t>
      </w:r>
      <w:r w:rsidRPr="00AB1915">
        <w:rPr>
          <w:rFonts w:ascii="Calibri" w:hAnsi="Calibri" w:cs="Calibri"/>
          <w:sz w:val="24"/>
          <w:szCs w:val="24"/>
        </w:rPr>
        <w:t>housing.</w:t>
      </w:r>
    </w:p>
    <w:p w14:paraId="0F3BD744" w14:textId="61AA77DC" w:rsidR="009D2B46" w:rsidRPr="0022369F" w:rsidRDefault="009D2B46" w:rsidP="000307CA">
      <w:pPr>
        <w:pStyle w:val="BodyText"/>
        <w:widowControl/>
        <w:tabs>
          <w:tab w:val="left" w:pos="10080"/>
        </w:tabs>
        <w:rPr>
          <w:rFonts w:ascii="Calibri" w:hAnsi="Calibri" w:cs="Calibri"/>
        </w:rPr>
      </w:pPr>
    </w:p>
    <w:p w14:paraId="6CEAE8F4" w14:textId="77777777" w:rsidR="00EC3E04" w:rsidRPr="00A02D3C" w:rsidRDefault="00EC3E04" w:rsidP="00EC3E04">
      <w:pPr>
        <w:pStyle w:val="Heading2"/>
        <w:spacing w:before="0" w:line="240" w:lineRule="auto"/>
        <w:rPr>
          <w:color w:val="5B9BD5" w:themeColor="accent5"/>
        </w:rPr>
      </w:pPr>
      <w:bookmarkStart w:id="80" w:name="_Toc525745084"/>
      <w:bookmarkStart w:id="81" w:name="_Toc534722152"/>
      <w:bookmarkStart w:id="82" w:name="_Toc22629003"/>
      <w:bookmarkStart w:id="83" w:name="_Toc525745087"/>
      <w:bookmarkStart w:id="84" w:name="_Toc534722155"/>
      <w:r w:rsidRPr="00A02D3C">
        <w:rPr>
          <w:color w:val="5B9BD5" w:themeColor="accent5"/>
        </w:rPr>
        <w:t>Real Property</w:t>
      </w:r>
      <w:bookmarkEnd w:id="80"/>
      <w:bookmarkEnd w:id="81"/>
      <w:bookmarkEnd w:id="82"/>
    </w:p>
    <w:p w14:paraId="0AF7D2A1" w14:textId="77777777" w:rsidR="00EC3E04" w:rsidRDefault="00EC3E04" w:rsidP="00EC3E04">
      <w:pPr>
        <w:pStyle w:val="BodyText"/>
        <w:widowControl/>
        <w:tabs>
          <w:tab w:val="left" w:pos="10080"/>
        </w:tabs>
        <w:rPr>
          <w:rFonts w:ascii="Calibri" w:hAnsi="Calibri" w:cs="Calibri"/>
        </w:rPr>
      </w:pPr>
      <w:r w:rsidRPr="00AB1915">
        <w:rPr>
          <w:rFonts w:ascii="Calibri" w:hAnsi="Calibri" w:cs="Calibri"/>
        </w:rPr>
        <w:t>If CDBG-DR funds are used to acquire real property, HCDD Legal ensures that the property continues to be used for its intended (and approved) purpose; proper records are maintained to keep track of it; steps are taken to protect and maintain it; and that if the property is sold, HCDD is reimbursed for the CDBG-DR share of the property’s value.  HCDD, as the grantee, along with its sub-recipients and contractors, must tag and log all property valued greater than $1,000 and update inventory records annually.</w:t>
      </w:r>
    </w:p>
    <w:p w14:paraId="605812DF" w14:textId="77777777" w:rsidR="00EC3E04" w:rsidRPr="00AB1915" w:rsidRDefault="00EC3E04" w:rsidP="00EC3E04">
      <w:pPr>
        <w:pStyle w:val="BodyText"/>
        <w:widowControl/>
        <w:tabs>
          <w:tab w:val="left" w:pos="10080"/>
        </w:tabs>
        <w:rPr>
          <w:rFonts w:ascii="Calibri" w:hAnsi="Calibri" w:cs="Calibri"/>
        </w:rPr>
      </w:pPr>
    </w:p>
    <w:p w14:paraId="2DD8F18B" w14:textId="1712F990" w:rsidR="00EC3E04" w:rsidRDefault="00EC3E04" w:rsidP="00EC3E04">
      <w:pPr>
        <w:pStyle w:val="BodyText"/>
        <w:widowControl/>
        <w:tabs>
          <w:tab w:val="left" w:pos="10080"/>
        </w:tabs>
        <w:rPr>
          <w:rFonts w:ascii="Calibri" w:hAnsi="Calibri" w:cs="Calibri"/>
        </w:rPr>
      </w:pPr>
      <w:r w:rsidRPr="0022369F">
        <w:rPr>
          <w:rFonts w:ascii="Calibri" w:hAnsi="Calibri" w:cs="Calibri"/>
        </w:rPr>
        <w:t xml:space="preserve">Second, the rules depend on the nature of the property.  Real property (e.g., land, buildings) is treated differently than personal property (e.g., equipment, supplies, intangible property such as copyrights).  (Property Management and Disposition Regulations 24 </w:t>
      </w:r>
      <w:r w:rsidR="00C821F6">
        <w:rPr>
          <w:rFonts w:ascii="Calibri" w:hAnsi="Calibri" w:cs="Calibri"/>
        </w:rPr>
        <w:t>C.F.R.</w:t>
      </w:r>
      <w:r w:rsidRPr="0022369F">
        <w:rPr>
          <w:rFonts w:ascii="Calibri" w:hAnsi="Calibri" w:cs="Calibri"/>
        </w:rPr>
        <w:t xml:space="preserve"> </w:t>
      </w:r>
      <w:r w:rsidR="00C821F6">
        <w:rPr>
          <w:rFonts w:ascii="Calibri" w:hAnsi="Calibri" w:cs="Calibri"/>
        </w:rPr>
        <w:t xml:space="preserve">§ </w:t>
      </w:r>
      <w:r w:rsidRPr="0022369F">
        <w:rPr>
          <w:rFonts w:ascii="Calibri" w:hAnsi="Calibri" w:cs="Calibri"/>
        </w:rPr>
        <w:t xml:space="preserve">570.503; </w:t>
      </w:r>
      <w:r w:rsidR="00FB2BF0">
        <w:rPr>
          <w:rFonts w:ascii="Calibri" w:hAnsi="Calibri" w:cs="Calibri"/>
        </w:rPr>
        <w:t>Real Property</w:t>
      </w:r>
      <w:r w:rsidR="00FB2BF0" w:rsidRPr="00627E94">
        <w:rPr>
          <w:rFonts w:ascii="Calibri" w:hAnsi="Calibri" w:cs="Calibri"/>
        </w:rPr>
        <w:t xml:space="preserve"> 2 C.F.R. § </w:t>
      </w:r>
      <w:r w:rsidR="00FB2BF0">
        <w:rPr>
          <w:rFonts w:ascii="Calibri" w:hAnsi="Calibri" w:cs="Calibri"/>
        </w:rPr>
        <w:t>200.311</w:t>
      </w:r>
      <w:r w:rsidR="00FB2BF0" w:rsidRPr="00627E94">
        <w:rPr>
          <w:rFonts w:ascii="Calibri" w:hAnsi="Calibri" w:cs="Calibri"/>
        </w:rPr>
        <w:t xml:space="preserve">; </w:t>
      </w:r>
      <w:r w:rsidR="00FB2BF0">
        <w:rPr>
          <w:rFonts w:ascii="Calibri" w:hAnsi="Calibri" w:cs="Calibri"/>
        </w:rPr>
        <w:t>Equipment</w:t>
      </w:r>
      <w:r w:rsidRPr="00627E94">
        <w:rPr>
          <w:rFonts w:ascii="Calibri" w:hAnsi="Calibri" w:cs="Calibri"/>
        </w:rPr>
        <w:t xml:space="preserve"> 2 </w:t>
      </w:r>
      <w:r w:rsidR="00C821F6" w:rsidRPr="00627E94">
        <w:rPr>
          <w:rFonts w:ascii="Calibri" w:hAnsi="Calibri" w:cs="Calibri"/>
        </w:rPr>
        <w:t>C.F.R.</w:t>
      </w:r>
      <w:r w:rsidRPr="00627E94">
        <w:rPr>
          <w:rFonts w:ascii="Calibri" w:hAnsi="Calibri" w:cs="Calibri"/>
        </w:rPr>
        <w:t xml:space="preserve"> </w:t>
      </w:r>
      <w:r w:rsidR="00C821F6" w:rsidRPr="00627E94">
        <w:rPr>
          <w:rFonts w:ascii="Calibri" w:hAnsi="Calibri" w:cs="Calibri"/>
        </w:rPr>
        <w:t xml:space="preserve">§ </w:t>
      </w:r>
      <w:r w:rsidR="00FB2BF0">
        <w:rPr>
          <w:rFonts w:ascii="Calibri" w:hAnsi="Calibri" w:cs="Calibri"/>
        </w:rPr>
        <w:t>200.313</w:t>
      </w:r>
      <w:r w:rsidRPr="00627E94">
        <w:rPr>
          <w:rFonts w:ascii="Calibri" w:hAnsi="Calibri" w:cs="Calibri"/>
        </w:rPr>
        <w:t xml:space="preserve">; </w:t>
      </w:r>
      <w:r w:rsidR="00FB2BF0">
        <w:rPr>
          <w:rFonts w:ascii="Calibri" w:hAnsi="Calibri" w:cs="Calibri"/>
        </w:rPr>
        <w:t>Intangible Property</w:t>
      </w:r>
      <w:r w:rsidRPr="00627E94">
        <w:rPr>
          <w:rFonts w:ascii="Calibri" w:hAnsi="Calibri" w:cs="Calibri"/>
        </w:rPr>
        <w:t xml:space="preserve"> 2 </w:t>
      </w:r>
      <w:r w:rsidR="00C821F6" w:rsidRPr="00627E94">
        <w:rPr>
          <w:rFonts w:ascii="Calibri" w:hAnsi="Calibri" w:cs="Calibri"/>
        </w:rPr>
        <w:t>C.F.R.</w:t>
      </w:r>
      <w:r w:rsidRPr="00627E94">
        <w:rPr>
          <w:rFonts w:ascii="Calibri" w:hAnsi="Calibri" w:cs="Calibri"/>
        </w:rPr>
        <w:t xml:space="preserve"> </w:t>
      </w:r>
      <w:r w:rsidR="00FB2BF0" w:rsidRPr="00627E94">
        <w:rPr>
          <w:rFonts w:ascii="Calibri" w:hAnsi="Calibri" w:cs="Calibri"/>
        </w:rPr>
        <w:t>§</w:t>
      </w:r>
      <w:r w:rsidR="00FB2BF0">
        <w:rPr>
          <w:rFonts w:ascii="Calibri" w:hAnsi="Calibri" w:cs="Calibri"/>
        </w:rPr>
        <w:t xml:space="preserve"> 200.315</w:t>
      </w:r>
      <w:r w:rsidRPr="00627E94">
        <w:rPr>
          <w:rFonts w:ascii="Calibri" w:hAnsi="Calibri" w:cs="Calibri"/>
        </w:rPr>
        <w:t xml:space="preserve">; </w:t>
      </w:r>
      <w:r w:rsidR="00FB2BF0">
        <w:rPr>
          <w:rFonts w:ascii="Calibri" w:hAnsi="Calibri" w:cs="Calibri"/>
        </w:rPr>
        <w:t>Supplies</w:t>
      </w:r>
      <w:r w:rsidR="00FB2BF0" w:rsidRPr="00627E94">
        <w:rPr>
          <w:rFonts w:ascii="Calibri" w:hAnsi="Calibri" w:cs="Calibri"/>
        </w:rPr>
        <w:t xml:space="preserve"> 2 C.F.R. § </w:t>
      </w:r>
      <w:r w:rsidR="00FB2BF0">
        <w:rPr>
          <w:rFonts w:ascii="Calibri" w:hAnsi="Calibri" w:cs="Calibri"/>
        </w:rPr>
        <w:t>200.314</w:t>
      </w:r>
      <w:r w:rsidRPr="00627E94">
        <w:rPr>
          <w:rFonts w:ascii="Calibri" w:hAnsi="Calibri" w:cs="Calibri"/>
        </w:rPr>
        <w:t>).</w:t>
      </w:r>
    </w:p>
    <w:p w14:paraId="203A3AA2" w14:textId="77777777" w:rsidR="00EC3E04" w:rsidRDefault="00EC3E04" w:rsidP="00EC3E04">
      <w:pPr>
        <w:pStyle w:val="BodyText"/>
        <w:widowControl/>
        <w:tabs>
          <w:tab w:val="left" w:pos="10080"/>
        </w:tabs>
        <w:rPr>
          <w:rFonts w:ascii="Calibri" w:hAnsi="Calibri" w:cs="Calibri"/>
        </w:rPr>
      </w:pPr>
    </w:p>
    <w:p w14:paraId="2231D5FC" w14:textId="06204D18" w:rsidR="00EC3E04" w:rsidRDefault="00EC3E04" w:rsidP="00EC3E04">
      <w:pPr>
        <w:pStyle w:val="BodyText"/>
        <w:widowControl/>
        <w:tabs>
          <w:tab w:val="left" w:pos="10080"/>
        </w:tabs>
        <w:rPr>
          <w:rFonts w:ascii="Calibri" w:hAnsi="Calibri" w:cs="Calibri"/>
        </w:rPr>
      </w:pPr>
      <w:r w:rsidRPr="0022369F">
        <w:rPr>
          <w:rFonts w:ascii="Calibri" w:hAnsi="Calibri" w:cs="Calibri"/>
        </w:rPr>
        <w:t>The federal requirements relating to real property are organized according to title (ownership), use, and disposition.  In general, the property management system must provide for accurate records, the performance of regular inventories, adequate maintenance and control, and proper sales procedures.  Grantees must follow sales procedures that provide for competition, to the extent practicable, and that result in the highest pos</w:t>
      </w:r>
      <w:r>
        <w:rPr>
          <w:rFonts w:ascii="Calibri" w:hAnsi="Calibri" w:cs="Calibri"/>
        </w:rPr>
        <w:t>sible return.</w:t>
      </w:r>
    </w:p>
    <w:p w14:paraId="6A1D6E60" w14:textId="77777777" w:rsidR="00EC3E04" w:rsidRPr="00EC3E04" w:rsidRDefault="00EC3E04" w:rsidP="00EC3E04">
      <w:pPr>
        <w:pStyle w:val="BodyText"/>
        <w:widowControl/>
        <w:tabs>
          <w:tab w:val="left" w:pos="10080"/>
        </w:tabs>
        <w:rPr>
          <w:rFonts w:ascii="Calibri" w:hAnsi="Calibri" w:cs="Calibri"/>
        </w:rPr>
      </w:pPr>
    </w:p>
    <w:p w14:paraId="33B8DE90" w14:textId="77777777" w:rsidR="007B0F5E" w:rsidRPr="00A02D3C" w:rsidRDefault="007B0F5E" w:rsidP="007B0F5E">
      <w:pPr>
        <w:pStyle w:val="Heading2"/>
        <w:spacing w:before="0" w:line="240" w:lineRule="auto"/>
        <w:rPr>
          <w:color w:val="5B9BD5" w:themeColor="accent5"/>
        </w:rPr>
      </w:pPr>
      <w:bookmarkStart w:id="85" w:name="_Toc525745086"/>
      <w:bookmarkStart w:id="86" w:name="_Toc534722154"/>
      <w:bookmarkStart w:id="87" w:name="_Toc22629004"/>
      <w:r w:rsidRPr="00A02D3C">
        <w:rPr>
          <w:color w:val="5B9BD5" w:themeColor="accent5"/>
        </w:rPr>
        <w:t>Insurance and Property Management</w:t>
      </w:r>
      <w:bookmarkEnd w:id="85"/>
      <w:bookmarkEnd w:id="86"/>
      <w:bookmarkEnd w:id="87"/>
    </w:p>
    <w:p w14:paraId="563F0B16" w14:textId="77777777" w:rsidR="007B0F5E" w:rsidRPr="00A02D3C" w:rsidRDefault="007B0F5E" w:rsidP="007B0F5E">
      <w:pPr>
        <w:spacing w:after="0" w:line="240" w:lineRule="auto"/>
        <w:rPr>
          <w:rFonts w:ascii="Calibri" w:hAnsi="Calibri" w:cs="Calibri"/>
          <w:sz w:val="24"/>
          <w:szCs w:val="24"/>
        </w:rPr>
      </w:pPr>
      <w:r w:rsidRPr="00A02D3C">
        <w:rPr>
          <w:rFonts w:ascii="Calibri" w:hAnsi="Calibri" w:cs="Calibri"/>
          <w:sz w:val="24"/>
          <w:szCs w:val="24"/>
        </w:rPr>
        <w:t>For all projects in the Program, all property owners must procure and maintain insurance for the duration of the agreement to protect all contract assets from loss due to any cause, such as theft, fraud, and physical damage.  If CDBG-DR funds are used to acquire real property or personal property, the property owner is responsible for ensuring that:</w:t>
      </w:r>
    </w:p>
    <w:p w14:paraId="4B991D7D" w14:textId="77777777" w:rsidR="007B0F5E" w:rsidRPr="00A02D3C" w:rsidRDefault="007B0F5E" w:rsidP="007B0F5E">
      <w:pPr>
        <w:pStyle w:val="ListParagraph"/>
        <w:numPr>
          <w:ilvl w:val="0"/>
          <w:numId w:val="36"/>
        </w:numPr>
        <w:spacing w:after="0" w:line="240" w:lineRule="auto"/>
        <w:rPr>
          <w:rFonts w:ascii="Calibri" w:hAnsi="Calibri" w:cs="Calibri"/>
          <w:sz w:val="24"/>
          <w:szCs w:val="24"/>
        </w:rPr>
      </w:pPr>
      <w:r w:rsidRPr="00A02D3C">
        <w:rPr>
          <w:rFonts w:ascii="Calibri" w:hAnsi="Calibri" w:cs="Calibri"/>
          <w:sz w:val="24"/>
          <w:szCs w:val="24"/>
        </w:rPr>
        <w:t>The property continues to be used for its intended (and approved) purpose;</w:t>
      </w:r>
    </w:p>
    <w:p w14:paraId="4C0D1DB9" w14:textId="77777777" w:rsidR="007B0F5E" w:rsidRPr="00A02D3C" w:rsidRDefault="007B0F5E" w:rsidP="007B0F5E">
      <w:pPr>
        <w:pStyle w:val="ListParagraph"/>
        <w:numPr>
          <w:ilvl w:val="0"/>
          <w:numId w:val="36"/>
        </w:numPr>
        <w:spacing w:after="0" w:line="240" w:lineRule="auto"/>
        <w:rPr>
          <w:rFonts w:ascii="Calibri" w:hAnsi="Calibri" w:cs="Calibri"/>
          <w:sz w:val="24"/>
          <w:szCs w:val="24"/>
        </w:rPr>
      </w:pPr>
      <w:r w:rsidRPr="00A02D3C">
        <w:rPr>
          <w:rFonts w:ascii="Calibri" w:hAnsi="Calibri" w:cs="Calibri"/>
          <w:sz w:val="24"/>
          <w:szCs w:val="24"/>
        </w:rPr>
        <w:t>The subrecipient keeps track of, and takes care of, the property; and</w:t>
      </w:r>
    </w:p>
    <w:p w14:paraId="57514ABC" w14:textId="78C9E85A" w:rsidR="007B0F5E" w:rsidRDefault="007B0F5E" w:rsidP="007B0F5E">
      <w:pPr>
        <w:pStyle w:val="ListParagraph"/>
        <w:numPr>
          <w:ilvl w:val="0"/>
          <w:numId w:val="36"/>
        </w:numPr>
        <w:spacing w:after="0" w:line="240" w:lineRule="auto"/>
        <w:rPr>
          <w:rFonts w:ascii="Calibri" w:hAnsi="Calibri" w:cs="Calibri"/>
          <w:sz w:val="24"/>
          <w:szCs w:val="24"/>
        </w:rPr>
      </w:pPr>
      <w:r w:rsidRPr="00A02D3C">
        <w:rPr>
          <w:rFonts w:ascii="Calibri" w:hAnsi="Calibri" w:cs="Calibri"/>
          <w:sz w:val="24"/>
          <w:szCs w:val="24"/>
        </w:rPr>
        <w:t>If the subrecipient sells or disposes of the property during the contract period, the subrecipient reimburses HCDD for the share of the property’s value according to the agreement.</w:t>
      </w:r>
    </w:p>
    <w:p w14:paraId="74E3BB61" w14:textId="2496AA09" w:rsidR="007B0F5E" w:rsidRDefault="007B0F5E" w:rsidP="007B0F5E">
      <w:pPr>
        <w:spacing w:after="0" w:line="240" w:lineRule="auto"/>
        <w:rPr>
          <w:rFonts w:ascii="Calibri" w:hAnsi="Calibri" w:cs="Calibri"/>
          <w:sz w:val="24"/>
          <w:szCs w:val="24"/>
        </w:rPr>
      </w:pPr>
    </w:p>
    <w:p w14:paraId="4305D916" w14:textId="77777777" w:rsidR="00661AF8" w:rsidRPr="007B0F5E" w:rsidRDefault="00661AF8" w:rsidP="007B0F5E">
      <w:pPr>
        <w:spacing w:after="0" w:line="240" w:lineRule="auto"/>
        <w:rPr>
          <w:rFonts w:ascii="Calibri" w:hAnsi="Calibri" w:cs="Calibri"/>
          <w:sz w:val="24"/>
          <w:szCs w:val="24"/>
        </w:rPr>
      </w:pPr>
    </w:p>
    <w:p w14:paraId="206B0205" w14:textId="6C6BF33E" w:rsidR="00034361" w:rsidRPr="00034361" w:rsidRDefault="00034361" w:rsidP="000307CA">
      <w:pPr>
        <w:pStyle w:val="Heading2"/>
        <w:spacing w:before="0" w:line="240" w:lineRule="auto"/>
        <w:rPr>
          <w:color w:val="5B9BD5" w:themeColor="accent5"/>
        </w:rPr>
      </w:pPr>
      <w:bookmarkStart w:id="88" w:name="_Toc8137200"/>
      <w:bookmarkStart w:id="89" w:name="_Toc22629005"/>
      <w:r w:rsidRPr="00034361">
        <w:rPr>
          <w:color w:val="5B9BD5" w:themeColor="accent5"/>
        </w:rPr>
        <w:t>Record Keeping, Retention and File Management</w:t>
      </w:r>
      <w:bookmarkEnd w:id="83"/>
      <w:bookmarkEnd w:id="84"/>
      <w:bookmarkEnd w:id="88"/>
      <w:bookmarkEnd w:id="89"/>
    </w:p>
    <w:p w14:paraId="6782BBE5" w14:textId="4BAD70AA" w:rsidR="009D2B46" w:rsidRDefault="00034361" w:rsidP="000307CA">
      <w:pPr>
        <w:spacing w:after="0" w:line="240" w:lineRule="auto"/>
        <w:rPr>
          <w:rFonts w:ascii="Calibri" w:hAnsi="Calibri" w:cs="Calibri"/>
          <w:sz w:val="24"/>
          <w:szCs w:val="24"/>
        </w:rPr>
      </w:pPr>
      <w:r w:rsidRPr="00AB1915">
        <w:rPr>
          <w:rFonts w:ascii="Calibri" w:hAnsi="Calibri" w:cs="Calibri"/>
          <w:sz w:val="24"/>
          <w:szCs w:val="24"/>
        </w:rPr>
        <w:t>In accordance with HUD regulations, the GLO as the grantee, and HCDD as the sub- grantee</w:t>
      </w:r>
      <w:r w:rsidRPr="00AB1915">
        <w:rPr>
          <w:rFonts w:ascii="Calibri" w:hAnsi="Calibri" w:cs="Calibri"/>
          <w:spacing w:val="-9"/>
          <w:sz w:val="24"/>
          <w:szCs w:val="24"/>
        </w:rPr>
        <w:t xml:space="preserve"> </w:t>
      </w:r>
      <w:r w:rsidRPr="00AB1915">
        <w:rPr>
          <w:rFonts w:ascii="Calibri" w:hAnsi="Calibri" w:cs="Calibri"/>
          <w:sz w:val="24"/>
          <w:szCs w:val="24"/>
        </w:rPr>
        <w:t>and</w:t>
      </w:r>
      <w:r w:rsidRPr="00AB1915">
        <w:rPr>
          <w:rFonts w:ascii="Calibri" w:hAnsi="Calibri" w:cs="Calibri"/>
          <w:spacing w:val="-7"/>
          <w:sz w:val="24"/>
          <w:szCs w:val="24"/>
        </w:rPr>
        <w:t xml:space="preserve"> </w:t>
      </w:r>
      <w:r w:rsidRPr="00AB1915">
        <w:rPr>
          <w:rFonts w:ascii="Calibri" w:hAnsi="Calibri" w:cs="Calibri"/>
          <w:sz w:val="24"/>
          <w:szCs w:val="24"/>
        </w:rPr>
        <w:t>prime</w:t>
      </w:r>
      <w:r w:rsidRPr="00AB1915">
        <w:rPr>
          <w:rFonts w:ascii="Calibri" w:hAnsi="Calibri" w:cs="Calibri"/>
          <w:spacing w:val="-8"/>
          <w:sz w:val="24"/>
          <w:szCs w:val="24"/>
        </w:rPr>
        <w:t xml:space="preserve"> </w:t>
      </w:r>
      <w:r w:rsidRPr="00AB1915">
        <w:rPr>
          <w:rFonts w:ascii="Calibri" w:hAnsi="Calibri" w:cs="Calibri"/>
          <w:sz w:val="24"/>
          <w:szCs w:val="24"/>
        </w:rPr>
        <w:t>recipient</w:t>
      </w:r>
      <w:r w:rsidRPr="00AB1915">
        <w:rPr>
          <w:rFonts w:ascii="Calibri" w:hAnsi="Calibri" w:cs="Calibri"/>
          <w:spacing w:val="-7"/>
          <w:sz w:val="24"/>
          <w:szCs w:val="24"/>
        </w:rPr>
        <w:t xml:space="preserve"> </w:t>
      </w:r>
      <w:r w:rsidRPr="00AB1915">
        <w:rPr>
          <w:rFonts w:ascii="Calibri" w:hAnsi="Calibri" w:cs="Calibri"/>
          <w:sz w:val="24"/>
          <w:szCs w:val="24"/>
        </w:rPr>
        <w:t>of</w:t>
      </w:r>
      <w:r w:rsidRPr="00AB1915">
        <w:rPr>
          <w:rFonts w:ascii="Calibri" w:hAnsi="Calibri" w:cs="Calibri"/>
          <w:spacing w:val="-8"/>
          <w:sz w:val="24"/>
          <w:szCs w:val="24"/>
        </w:rPr>
        <w:t xml:space="preserve"> </w:t>
      </w:r>
      <w:r w:rsidRPr="00AB1915">
        <w:rPr>
          <w:rFonts w:ascii="Calibri" w:hAnsi="Calibri" w:cs="Calibri"/>
          <w:sz w:val="24"/>
          <w:szCs w:val="24"/>
        </w:rPr>
        <w:t>CDBG-DR</w:t>
      </w:r>
      <w:r w:rsidRPr="00AB1915">
        <w:rPr>
          <w:rFonts w:ascii="Calibri" w:hAnsi="Calibri" w:cs="Calibri"/>
          <w:spacing w:val="-7"/>
          <w:sz w:val="24"/>
          <w:szCs w:val="24"/>
        </w:rPr>
        <w:t xml:space="preserve"> </w:t>
      </w:r>
      <w:r w:rsidRPr="00AB1915">
        <w:rPr>
          <w:rFonts w:ascii="Calibri" w:hAnsi="Calibri" w:cs="Calibri"/>
          <w:sz w:val="24"/>
          <w:szCs w:val="24"/>
        </w:rPr>
        <w:t>funds</w:t>
      </w:r>
      <w:r w:rsidRPr="00AB1915">
        <w:rPr>
          <w:rFonts w:ascii="Calibri" w:hAnsi="Calibri" w:cs="Calibri"/>
          <w:spacing w:val="-8"/>
          <w:sz w:val="24"/>
          <w:szCs w:val="24"/>
        </w:rPr>
        <w:t xml:space="preserve"> </w:t>
      </w:r>
      <w:r w:rsidRPr="00AB1915">
        <w:rPr>
          <w:rFonts w:ascii="Calibri" w:hAnsi="Calibri" w:cs="Calibri"/>
          <w:sz w:val="24"/>
          <w:szCs w:val="24"/>
        </w:rPr>
        <w:t>follow</w:t>
      </w:r>
      <w:r w:rsidRPr="00AB1915">
        <w:rPr>
          <w:rFonts w:ascii="Calibri" w:hAnsi="Calibri" w:cs="Calibri"/>
          <w:spacing w:val="-8"/>
          <w:sz w:val="24"/>
          <w:szCs w:val="24"/>
        </w:rPr>
        <w:t xml:space="preserve"> </w:t>
      </w:r>
      <w:r w:rsidRPr="00AB1915">
        <w:rPr>
          <w:rFonts w:ascii="Calibri" w:hAnsi="Calibri" w:cs="Calibri"/>
          <w:sz w:val="24"/>
          <w:szCs w:val="24"/>
        </w:rPr>
        <w:t>the</w:t>
      </w:r>
      <w:r w:rsidRPr="00AB1915">
        <w:rPr>
          <w:rFonts w:ascii="Calibri" w:hAnsi="Calibri" w:cs="Calibri"/>
          <w:spacing w:val="-8"/>
          <w:sz w:val="24"/>
          <w:szCs w:val="24"/>
        </w:rPr>
        <w:t xml:space="preserve"> </w:t>
      </w:r>
      <w:r w:rsidRPr="00AB1915">
        <w:rPr>
          <w:rFonts w:ascii="Calibri" w:hAnsi="Calibri" w:cs="Calibri"/>
          <w:sz w:val="24"/>
          <w:szCs w:val="24"/>
        </w:rPr>
        <w:t>records</w:t>
      </w:r>
      <w:r w:rsidRPr="00AB1915">
        <w:rPr>
          <w:rFonts w:ascii="Calibri" w:hAnsi="Calibri" w:cs="Calibri"/>
          <w:spacing w:val="-8"/>
          <w:sz w:val="24"/>
          <w:szCs w:val="24"/>
        </w:rPr>
        <w:t xml:space="preserve"> </w:t>
      </w:r>
      <w:r w:rsidRPr="00AB1915">
        <w:rPr>
          <w:rFonts w:ascii="Calibri" w:hAnsi="Calibri" w:cs="Calibri"/>
          <w:sz w:val="24"/>
          <w:szCs w:val="24"/>
        </w:rPr>
        <w:t>retention</w:t>
      </w:r>
      <w:r w:rsidRPr="00AB1915">
        <w:rPr>
          <w:rFonts w:ascii="Calibri" w:hAnsi="Calibri" w:cs="Calibri"/>
          <w:spacing w:val="-3"/>
          <w:sz w:val="24"/>
          <w:szCs w:val="24"/>
        </w:rPr>
        <w:t xml:space="preserve"> </w:t>
      </w:r>
      <w:r w:rsidRPr="00AB1915">
        <w:rPr>
          <w:rFonts w:ascii="Calibri" w:hAnsi="Calibri" w:cs="Calibri"/>
          <w:sz w:val="24"/>
          <w:szCs w:val="24"/>
        </w:rPr>
        <w:t>requirements</w:t>
      </w:r>
      <w:r w:rsidRPr="00AB1915">
        <w:rPr>
          <w:rFonts w:ascii="Calibri" w:hAnsi="Calibri" w:cs="Calibri"/>
          <w:spacing w:val="-6"/>
          <w:sz w:val="24"/>
          <w:szCs w:val="24"/>
        </w:rPr>
        <w:t xml:space="preserve"> </w:t>
      </w:r>
      <w:r w:rsidRPr="00AB1915">
        <w:rPr>
          <w:rFonts w:ascii="Calibri" w:hAnsi="Calibri" w:cs="Calibri"/>
          <w:sz w:val="24"/>
          <w:szCs w:val="24"/>
        </w:rPr>
        <w:t>cited</w:t>
      </w:r>
      <w:r w:rsidRPr="00AB1915">
        <w:rPr>
          <w:rFonts w:ascii="Calibri" w:hAnsi="Calibri" w:cs="Calibri"/>
          <w:spacing w:val="-7"/>
          <w:sz w:val="24"/>
          <w:szCs w:val="24"/>
        </w:rPr>
        <w:t xml:space="preserve"> </w:t>
      </w:r>
      <w:r w:rsidRPr="00AB1915">
        <w:rPr>
          <w:rFonts w:ascii="Calibri" w:hAnsi="Calibri" w:cs="Calibri"/>
          <w:sz w:val="24"/>
          <w:szCs w:val="24"/>
        </w:rPr>
        <w:t>in 2 C</w:t>
      </w:r>
      <w:r w:rsidR="00A17C51">
        <w:rPr>
          <w:rFonts w:ascii="Calibri" w:hAnsi="Calibri" w:cs="Calibri"/>
          <w:sz w:val="24"/>
          <w:szCs w:val="24"/>
        </w:rPr>
        <w:t>.</w:t>
      </w:r>
      <w:r w:rsidRPr="00AB1915">
        <w:rPr>
          <w:rFonts w:ascii="Calibri" w:hAnsi="Calibri" w:cs="Calibri"/>
          <w:sz w:val="24"/>
          <w:szCs w:val="24"/>
        </w:rPr>
        <w:t>F</w:t>
      </w:r>
      <w:r w:rsidR="00A17C51">
        <w:rPr>
          <w:rFonts w:ascii="Calibri" w:hAnsi="Calibri" w:cs="Calibri"/>
          <w:sz w:val="24"/>
          <w:szCs w:val="24"/>
        </w:rPr>
        <w:t>.</w:t>
      </w:r>
      <w:r w:rsidRPr="00AB1915">
        <w:rPr>
          <w:rFonts w:ascii="Calibri" w:hAnsi="Calibri" w:cs="Calibri"/>
          <w:sz w:val="24"/>
          <w:szCs w:val="24"/>
        </w:rPr>
        <w:t>R</w:t>
      </w:r>
      <w:r w:rsidR="00A17C51">
        <w:rPr>
          <w:rFonts w:ascii="Calibri" w:hAnsi="Calibri" w:cs="Calibri"/>
          <w:sz w:val="24"/>
          <w:szCs w:val="24"/>
        </w:rPr>
        <w:t>. Part</w:t>
      </w:r>
      <w:r w:rsidRPr="00AB1915">
        <w:rPr>
          <w:rFonts w:ascii="Calibri" w:hAnsi="Calibri" w:cs="Calibri"/>
          <w:sz w:val="24"/>
          <w:szCs w:val="24"/>
        </w:rPr>
        <w:t xml:space="preserve"> 200, which includes financial records, supporting documents, statistical records and</w:t>
      </w:r>
      <w:r w:rsidRPr="00AB1915">
        <w:rPr>
          <w:rFonts w:ascii="Calibri" w:hAnsi="Calibri" w:cs="Calibri"/>
          <w:spacing w:val="7"/>
          <w:sz w:val="24"/>
          <w:szCs w:val="24"/>
        </w:rPr>
        <w:t xml:space="preserve"> </w:t>
      </w:r>
      <w:r w:rsidRPr="00AB1915">
        <w:rPr>
          <w:rFonts w:ascii="Calibri" w:hAnsi="Calibri" w:cs="Calibri"/>
          <w:sz w:val="24"/>
          <w:szCs w:val="24"/>
        </w:rPr>
        <w:t>all other pertinent records.  HCDD establishes recordkeeping and retention requirements in its sub- recipient and contractor agreements in accordance with the guidelines stated in 24 C</w:t>
      </w:r>
      <w:r w:rsidR="00A17C51">
        <w:rPr>
          <w:rFonts w:ascii="Calibri" w:hAnsi="Calibri" w:cs="Calibri"/>
          <w:sz w:val="24"/>
          <w:szCs w:val="24"/>
        </w:rPr>
        <w:t>.</w:t>
      </w:r>
      <w:r w:rsidRPr="00AB1915">
        <w:rPr>
          <w:rFonts w:ascii="Calibri" w:hAnsi="Calibri" w:cs="Calibri"/>
          <w:sz w:val="24"/>
          <w:szCs w:val="24"/>
        </w:rPr>
        <w:t>F</w:t>
      </w:r>
      <w:r w:rsidR="00A17C51">
        <w:rPr>
          <w:rFonts w:ascii="Calibri" w:hAnsi="Calibri" w:cs="Calibri"/>
          <w:sz w:val="24"/>
          <w:szCs w:val="24"/>
        </w:rPr>
        <w:t>.</w:t>
      </w:r>
      <w:r w:rsidRPr="00AB1915">
        <w:rPr>
          <w:rFonts w:ascii="Calibri" w:hAnsi="Calibri" w:cs="Calibri"/>
          <w:sz w:val="24"/>
          <w:szCs w:val="24"/>
        </w:rPr>
        <w:t>R</w:t>
      </w:r>
      <w:r w:rsidR="00A17C51">
        <w:rPr>
          <w:rFonts w:ascii="Calibri" w:hAnsi="Calibri" w:cs="Calibri"/>
          <w:sz w:val="24"/>
          <w:szCs w:val="24"/>
        </w:rPr>
        <w:t>. §</w:t>
      </w:r>
      <w:r w:rsidRPr="00AB1915">
        <w:rPr>
          <w:rFonts w:ascii="Calibri" w:hAnsi="Calibri" w:cs="Calibri"/>
          <w:sz w:val="24"/>
          <w:szCs w:val="24"/>
        </w:rPr>
        <w:t xml:space="preserve"> 570.503(b)(2).</w:t>
      </w:r>
    </w:p>
    <w:p w14:paraId="4FFE9142" w14:textId="77777777" w:rsidR="009D2B46" w:rsidRPr="00AB1915" w:rsidRDefault="009D2B46" w:rsidP="000307CA">
      <w:pPr>
        <w:spacing w:after="0" w:line="240" w:lineRule="auto"/>
        <w:rPr>
          <w:rFonts w:ascii="Calibri" w:hAnsi="Calibri" w:cs="Calibri"/>
          <w:sz w:val="24"/>
          <w:szCs w:val="24"/>
        </w:rPr>
      </w:pPr>
    </w:p>
    <w:p w14:paraId="6E7A0B9A" w14:textId="77777777" w:rsidR="00034361" w:rsidRPr="00034361" w:rsidRDefault="00034361" w:rsidP="000307CA">
      <w:pPr>
        <w:pStyle w:val="Heading2"/>
        <w:spacing w:before="0" w:line="240" w:lineRule="auto"/>
        <w:rPr>
          <w:color w:val="5B9BD5" w:themeColor="accent5"/>
        </w:rPr>
      </w:pPr>
      <w:bookmarkStart w:id="90" w:name="_Toc525745089"/>
      <w:bookmarkStart w:id="91" w:name="_Toc534722157"/>
      <w:bookmarkStart w:id="92" w:name="_Toc8137201"/>
      <w:bookmarkStart w:id="93" w:name="_Toc22629006"/>
      <w:r w:rsidRPr="00034361">
        <w:rPr>
          <w:color w:val="5B9BD5" w:themeColor="accent5"/>
        </w:rPr>
        <w:t>Record Retention</w:t>
      </w:r>
      <w:bookmarkEnd w:id="90"/>
      <w:bookmarkEnd w:id="91"/>
      <w:bookmarkEnd w:id="92"/>
      <w:bookmarkEnd w:id="93"/>
    </w:p>
    <w:p w14:paraId="5B1BFBEB" w14:textId="77777777" w:rsidR="00034361" w:rsidRPr="0022369F" w:rsidRDefault="00034361" w:rsidP="000307CA">
      <w:pPr>
        <w:pStyle w:val="BodyText"/>
        <w:widowControl/>
        <w:tabs>
          <w:tab w:val="left" w:pos="10080"/>
        </w:tabs>
        <w:rPr>
          <w:rFonts w:ascii="Calibri" w:hAnsi="Calibri" w:cs="Calibri"/>
        </w:rPr>
      </w:pPr>
      <w:r w:rsidRPr="0022369F">
        <w:rPr>
          <w:rFonts w:ascii="Calibri" w:hAnsi="Calibri" w:cs="Calibri"/>
        </w:rPr>
        <w:t>Record</w:t>
      </w:r>
      <w:r w:rsidRPr="0022369F">
        <w:rPr>
          <w:rFonts w:ascii="Calibri" w:hAnsi="Calibri" w:cs="Calibri"/>
          <w:spacing w:val="-12"/>
        </w:rPr>
        <w:t xml:space="preserve"> </w:t>
      </w:r>
      <w:r w:rsidRPr="0022369F">
        <w:rPr>
          <w:rFonts w:ascii="Calibri" w:hAnsi="Calibri" w:cs="Calibri"/>
        </w:rPr>
        <w:t>retention</w:t>
      </w:r>
      <w:r w:rsidRPr="0022369F">
        <w:rPr>
          <w:rFonts w:ascii="Calibri" w:hAnsi="Calibri" w:cs="Calibri"/>
          <w:spacing w:val="-13"/>
        </w:rPr>
        <w:t xml:space="preserve"> </w:t>
      </w:r>
      <w:r w:rsidRPr="0022369F">
        <w:rPr>
          <w:rFonts w:ascii="Calibri" w:hAnsi="Calibri" w:cs="Calibri"/>
        </w:rPr>
        <w:t>is</w:t>
      </w:r>
      <w:r w:rsidRPr="0022369F">
        <w:rPr>
          <w:rFonts w:ascii="Calibri" w:hAnsi="Calibri" w:cs="Calibri"/>
          <w:spacing w:val="-10"/>
        </w:rPr>
        <w:t xml:space="preserve"> </w:t>
      </w:r>
      <w:r w:rsidRPr="0022369F">
        <w:rPr>
          <w:rFonts w:ascii="Calibri" w:hAnsi="Calibri" w:cs="Calibri"/>
        </w:rPr>
        <w:t>a</w:t>
      </w:r>
      <w:r w:rsidRPr="0022369F">
        <w:rPr>
          <w:rFonts w:ascii="Calibri" w:hAnsi="Calibri" w:cs="Calibri"/>
          <w:spacing w:val="-14"/>
        </w:rPr>
        <w:t xml:space="preserve"> </w:t>
      </w:r>
      <w:r w:rsidRPr="0022369F">
        <w:rPr>
          <w:rFonts w:ascii="Calibri" w:hAnsi="Calibri" w:cs="Calibri"/>
        </w:rPr>
        <w:t>requirement</w:t>
      </w:r>
      <w:r w:rsidRPr="0022369F">
        <w:rPr>
          <w:rFonts w:ascii="Calibri" w:hAnsi="Calibri" w:cs="Calibri"/>
          <w:spacing w:val="-13"/>
        </w:rPr>
        <w:t xml:space="preserve"> </w:t>
      </w:r>
      <w:r w:rsidRPr="0022369F">
        <w:rPr>
          <w:rFonts w:ascii="Calibri" w:hAnsi="Calibri" w:cs="Calibri"/>
        </w:rPr>
        <w:t>of</w:t>
      </w:r>
      <w:r w:rsidRPr="0022369F">
        <w:rPr>
          <w:rFonts w:ascii="Calibri" w:hAnsi="Calibri" w:cs="Calibri"/>
          <w:spacing w:val="-12"/>
        </w:rPr>
        <w:t xml:space="preserve"> </w:t>
      </w:r>
      <w:r w:rsidRPr="0022369F">
        <w:rPr>
          <w:rFonts w:ascii="Calibri" w:hAnsi="Calibri" w:cs="Calibri"/>
        </w:rPr>
        <w:t>the</w:t>
      </w:r>
      <w:r w:rsidRPr="0022369F">
        <w:rPr>
          <w:rFonts w:ascii="Calibri" w:hAnsi="Calibri" w:cs="Calibri"/>
          <w:spacing w:val="-13"/>
        </w:rPr>
        <w:t xml:space="preserve"> </w:t>
      </w:r>
      <w:r w:rsidRPr="0022369F">
        <w:rPr>
          <w:rFonts w:ascii="Calibri" w:hAnsi="Calibri" w:cs="Calibri"/>
        </w:rPr>
        <w:t>program.</w:t>
      </w:r>
      <w:r w:rsidRPr="0022369F">
        <w:rPr>
          <w:rFonts w:ascii="Calibri" w:hAnsi="Calibri" w:cs="Calibri"/>
          <w:spacing w:val="-13"/>
        </w:rPr>
        <w:t xml:space="preserve">  </w:t>
      </w:r>
      <w:r w:rsidRPr="0022369F">
        <w:rPr>
          <w:rFonts w:ascii="Calibri" w:hAnsi="Calibri" w:cs="Calibri"/>
        </w:rPr>
        <w:t>Records</w:t>
      </w:r>
      <w:r w:rsidRPr="0022369F">
        <w:rPr>
          <w:rFonts w:ascii="Calibri" w:hAnsi="Calibri" w:cs="Calibri"/>
          <w:spacing w:val="-12"/>
        </w:rPr>
        <w:t xml:space="preserve"> </w:t>
      </w:r>
      <w:r w:rsidRPr="0022369F">
        <w:rPr>
          <w:rFonts w:ascii="Calibri" w:hAnsi="Calibri" w:cs="Calibri"/>
        </w:rPr>
        <w:t>are</w:t>
      </w:r>
      <w:r w:rsidRPr="0022369F">
        <w:rPr>
          <w:rFonts w:ascii="Calibri" w:hAnsi="Calibri" w:cs="Calibri"/>
          <w:spacing w:val="-13"/>
        </w:rPr>
        <w:t xml:space="preserve"> </w:t>
      </w:r>
      <w:r w:rsidRPr="0022369F">
        <w:rPr>
          <w:rFonts w:ascii="Calibri" w:hAnsi="Calibri" w:cs="Calibri"/>
        </w:rPr>
        <w:t>maintained</w:t>
      </w:r>
      <w:r w:rsidRPr="0022369F">
        <w:rPr>
          <w:rFonts w:ascii="Calibri" w:hAnsi="Calibri" w:cs="Calibri"/>
          <w:spacing w:val="-11"/>
        </w:rPr>
        <w:t xml:space="preserve"> </w:t>
      </w:r>
      <w:r w:rsidRPr="0022369F">
        <w:rPr>
          <w:rFonts w:ascii="Calibri" w:hAnsi="Calibri" w:cs="Calibri"/>
        </w:rPr>
        <w:t>to</w:t>
      </w:r>
      <w:r w:rsidRPr="0022369F">
        <w:rPr>
          <w:rFonts w:ascii="Calibri" w:hAnsi="Calibri" w:cs="Calibri"/>
          <w:spacing w:val="-11"/>
        </w:rPr>
        <w:t xml:space="preserve"> </w:t>
      </w:r>
      <w:r w:rsidRPr="0022369F">
        <w:rPr>
          <w:rFonts w:ascii="Calibri" w:hAnsi="Calibri" w:cs="Calibri"/>
        </w:rPr>
        <w:t>document</w:t>
      </w:r>
      <w:r w:rsidRPr="0022369F">
        <w:rPr>
          <w:rFonts w:ascii="Calibri" w:hAnsi="Calibri" w:cs="Calibri"/>
          <w:spacing w:val="-13"/>
        </w:rPr>
        <w:t xml:space="preserve"> </w:t>
      </w:r>
      <w:r w:rsidRPr="0022369F">
        <w:rPr>
          <w:rFonts w:ascii="Calibri" w:hAnsi="Calibri" w:cs="Calibri"/>
        </w:rPr>
        <w:t>compliance with program requirements and federal, state, and local regulations and to facilitate a review or audit by HUD.  The HCDD Records Management Program seeks to ensure</w:t>
      </w:r>
      <w:r w:rsidRPr="0022369F">
        <w:rPr>
          <w:rFonts w:ascii="Calibri" w:hAnsi="Calibri" w:cs="Calibri"/>
          <w:spacing w:val="-3"/>
        </w:rPr>
        <w:t xml:space="preserve"> </w:t>
      </w:r>
      <w:r w:rsidRPr="0022369F">
        <w:rPr>
          <w:rFonts w:ascii="Calibri" w:hAnsi="Calibri" w:cs="Calibri"/>
        </w:rPr>
        <w:t>that:</w:t>
      </w:r>
    </w:p>
    <w:p w14:paraId="5B9C52A4" w14:textId="77777777" w:rsidR="00034361" w:rsidRPr="0022369F" w:rsidRDefault="00034361" w:rsidP="00E14863">
      <w:pPr>
        <w:pStyle w:val="ListParagraph"/>
        <w:numPr>
          <w:ilvl w:val="1"/>
          <w:numId w:val="14"/>
        </w:numPr>
        <w:tabs>
          <w:tab w:val="left" w:pos="1500"/>
          <w:tab w:val="left" w:pos="1501"/>
          <w:tab w:val="left" w:pos="10080"/>
        </w:tabs>
        <w:autoSpaceDE w:val="0"/>
        <w:autoSpaceDN w:val="0"/>
        <w:spacing w:after="0" w:line="240" w:lineRule="auto"/>
        <w:ind w:left="720"/>
        <w:contextualSpacing w:val="0"/>
        <w:rPr>
          <w:rFonts w:ascii="Calibri" w:hAnsi="Calibri" w:cs="Calibri"/>
          <w:sz w:val="24"/>
        </w:rPr>
      </w:pPr>
      <w:r w:rsidRPr="0022369F">
        <w:rPr>
          <w:rFonts w:ascii="Calibri" w:hAnsi="Calibri" w:cs="Calibri"/>
          <w:sz w:val="24"/>
        </w:rPr>
        <w:lastRenderedPageBreak/>
        <w:t>HCDD complies with all requirements concerning records and records</w:t>
      </w:r>
      <w:r w:rsidRPr="0022369F">
        <w:rPr>
          <w:rFonts w:ascii="Calibri" w:hAnsi="Calibri" w:cs="Calibri"/>
          <w:spacing w:val="-11"/>
          <w:sz w:val="24"/>
        </w:rPr>
        <w:t xml:space="preserve"> </w:t>
      </w:r>
      <w:r w:rsidRPr="0022369F">
        <w:rPr>
          <w:rFonts w:ascii="Calibri" w:hAnsi="Calibri" w:cs="Calibri"/>
          <w:sz w:val="24"/>
        </w:rPr>
        <w:t>management practices under federal and state</w:t>
      </w:r>
      <w:r w:rsidRPr="0022369F">
        <w:rPr>
          <w:rFonts w:ascii="Calibri" w:hAnsi="Calibri" w:cs="Calibri"/>
          <w:spacing w:val="-2"/>
          <w:sz w:val="24"/>
        </w:rPr>
        <w:t xml:space="preserve"> </w:t>
      </w:r>
      <w:r w:rsidRPr="0022369F">
        <w:rPr>
          <w:rFonts w:ascii="Calibri" w:hAnsi="Calibri" w:cs="Calibri"/>
          <w:sz w:val="24"/>
        </w:rPr>
        <w:t>regulations;</w:t>
      </w:r>
    </w:p>
    <w:p w14:paraId="171B497A" w14:textId="77777777" w:rsidR="00034361" w:rsidRPr="0022369F" w:rsidRDefault="00034361" w:rsidP="00E14863">
      <w:pPr>
        <w:pStyle w:val="ListParagraph"/>
        <w:numPr>
          <w:ilvl w:val="1"/>
          <w:numId w:val="14"/>
        </w:numPr>
        <w:tabs>
          <w:tab w:val="left" w:pos="1500"/>
          <w:tab w:val="left" w:pos="1501"/>
          <w:tab w:val="left" w:pos="10080"/>
        </w:tabs>
        <w:autoSpaceDE w:val="0"/>
        <w:autoSpaceDN w:val="0"/>
        <w:spacing w:after="0" w:line="240" w:lineRule="auto"/>
        <w:ind w:left="720"/>
        <w:contextualSpacing w:val="0"/>
        <w:rPr>
          <w:rFonts w:ascii="Calibri" w:hAnsi="Calibri" w:cs="Calibri"/>
          <w:sz w:val="24"/>
        </w:rPr>
      </w:pPr>
      <w:r w:rsidRPr="0022369F">
        <w:rPr>
          <w:rFonts w:ascii="Calibri" w:hAnsi="Calibri" w:cs="Calibri"/>
          <w:sz w:val="24"/>
        </w:rPr>
        <w:t>HCDD has the records it needs to support and enhance ongoing business and</w:t>
      </w:r>
      <w:r w:rsidRPr="0022369F">
        <w:rPr>
          <w:rFonts w:ascii="Calibri" w:hAnsi="Calibri" w:cs="Calibri"/>
          <w:spacing w:val="-11"/>
          <w:sz w:val="24"/>
        </w:rPr>
        <w:t xml:space="preserve"> </w:t>
      </w:r>
      <w:r w:rsidRPr="0022369F">
        <w:rPr>
          <w:rFonts w:ascii="Calibri" w:hAnsi="Calibri" w:cs="Calibri"/>
          <w:sz w:val="24"/>
        </w:rPr>
        <w:t>citizen service, meet accountability requirements, and community</w:t>
      </w:r>
      <w:r w:rsidRPr="0022369F">
        <w:rPr>
          <w:rFonts w:ascii="Calibri" w:hAnsi="Calibri" w:cs="Calibri"/>
          <w:spacing w:val="-12"/>
          <w:sz w:val="24"/>
        </w:rPr>
        <w:t xml:space="preserve"> </w:t>
      </w:r>
      <w:r w:rsidRPr="0022369F">
        <w:rPr>
          <w:rFonts w:ascii="Calibri" w:hAnsi="Calibri" w:cs="Calibri"/>
          <w:sz w:val="24"/>
        </w:rPr>
        <w:t>expectations;</w:t>
      </w:r>
    </w:p>
    <w:p w14:paraId="0CDE9661" w14:textId="77777777" w:rsidR="00034361" w:rsidRPr="0022369F" w:rsidRDefault="00034361" w:rsidP="00E14863">
      <w:pPr>
        <w:pStyle w:val="ListParagraph"/>
        <w:numPr>
          <w:ilvl w:val="1"/>
          <w:numId w:val="14"/>
        </w:numPr>
        <w:tabs>
          <w:tab w:val="left" w:pos="1500"/>
          <w:tab w:val="left" w:pos="1501"/>
          <w:tab w:val="left" w:pos="10080"/>
        </w:tabs>
        <w:autoSpaceDE w:val="0"/>
        <w:autoSpaceDN w:val="0"/>
        <w:spacing w:after="0" w:line="240" w:lineRule="auto"/>
        <w:ind w:left="720"/>
        <w:contextualSpacing w:val="0"/>
        <w:rPr>
          <w:rFonts w:ascii="Calibri" w:hAnsi="Calibri" w:cs="Calibri"/>
          <w:sz w:val="24"/>
        </w:rPr>
      </w:pPr>
      <w:r w:rsidRPr="0022369F">
        <w:rPr>
          <w:rFonts w:ascii="Calibri" w:hAnsi="Calibri" w:cs="Calibri"/>
          <w:sz w:val="24"/>
        </w:rPr>
        <w:t>These records are managed efficiently and can be easily accessed and used for as long as they are required.</w:t>
      </w:r>
    </w:p>
    <w:p w14:paraId="523BBE89" w14:textId="77777777" w:rsidR="00034361" w:rsidRPr="0022369F" w:rsidRDefault="00034361" w:rsidP="000307CA">
      <w:pPr>
        <w:pStyle w:val="ListParagraph"/>
        <w:tabs>
          <w:tab w:val="left" w:pos="1500"/>
          <w:tab w:val="left" w:pos="1501"/>
          <w:tab w:val="left" w:pos="10080"/>
        </w:tabs>
        <w:autoSpaceDE w:val="0"/>
        <w:autoSpaceDN w:val="0"/>
        <w:spacing w:after="0" w:line="240" w:lineRule="auto"/>
        <w:contextualSpacing w:val="0"/>
        <w:rPr>
          <w:rFonts w:ascii="Calibri" w:hAnsi="Calibri" w:cs="Calibri"/>
          <w:sz w:val="24"/>
        </w:rPr>
      </w:pPr>
    </w:p>
    <w:p w14:paraId="5909698E" w14:textId="6298D1DB" w:rsidR="00034361" w:rsidRDefault="00034361" w:rsidP="000307CA">
      <w:pPr>
        <w:tabs>
          <w:tab w:val="left" w:pos="1500"/>
          <w:tab w:val="left" w:pos="1501"/>
          <w:tab w:val="left" w:pos="10080"/>
        </w:tabs>
        <w:autoSpaceDE w:val="0"/>
        <w:autoSpaceDN w:val="0"/>
        <w:spacing w:after="0" w:line="240" w:lineRule="auto"/>
        <w:rPr>
          <w:rFonts w:ascii="Calibri" w:hAnsi="Calibri" w:cs="Calibri"/>
          <w:sz w:val="24"/>
          <w:szCs w:val="24"/>
        </w:rPr>
      </w:pPr>
      <w:r w:rsidRPr="00AB1915">
        <w:rPr>
          <w:rFonts w:ascii="Calibri" w:hAnsi="Calibri" w:cs="Calibri"/>
          <w:sz w:val="24"/>
          <w:szCs w:val="24"/>
        </w:rPr>
        <w:t>These records are stored as cost-effectively as possible and when no longer required</w:t>
      </w:r>
      <w:r w:rsidRPr="00AB1915">
        <w:rPr>
          <w:rFonts w:ascii="Calibri" w:hAnsi="Calibri" w:cs="Calibri"/>
          <w:spacing w:val="-13"/>
          <w:sz w:val="24"/>
          <w:szCs w:val="24"/>
        </w:rPr>
        <w:t xml:space="preserve"> </w:t>
      </w:r>
      <w:r w:rsidRPr="00AB1915">
        <w:rPr>
          <w:rFonts w:ascii="Calibri" w:hAnsi="Calibri" w:cs="Calibri"/>
          <w:sz w:val="24"/>
          <w:szCs w:val="24"/>
        </w:rPr>
        <w:t>they are disposed of in a timely and efficient manner based on HUD Handbook 2225.6, Records Disposition Schedules and HUD Handbook 2228.2.</w:t>
      </w:r>
    </w:p>
    <w:p w14:paraId="1BB7B3AD" w14:textId="77777777" w:rsidR="004E0BE6" w:rsidRPr="00AB1915" w:rsidRDefault="004E0BE6" w:rsidP="000307CA">
      <w:pPr>
        <w:tabs>
          <w:tab w:val="left" w:pos="1500"/>
          <w:tab w:val="left" w:pos="1501"/>
          <w:tab w:val="left" w:pos="10080"/>
        </w:tabs>
        <w:autoSpaceDE w:val="0"/>
        <w:autoSpaceDN w:val="0"/>
        <w:spacing w:after="0" w:line="240" w:lineRule="auto"/>
        <w:rPr>
          <w:rFonts w:ascii="Calibri" w:hAnsi="Calibri" w:cs="Calibri"/>
          <w:sz w:val="24"/>
          <w:szCs w:val="24"/>
        </w:rPr>
      </w:pPr>
    </w:p>
    <w:p w14:paraId="592359FB" w14:textId="77777777" w:rsidR="00034361" w:rsidRPr="00034361" w:rsidRDefault="00034361" w:rsidP="000307CA">
      <w:pPr>
        <w:pStyle w:val="Heading2"/>
        <w:spacing w:before="0" w:line="240" w:lineRule="auto"/>
        <w:rPr>
          <w:color w:val="5B9BD5" w:themeColor="accent5"/>
        </w:rPr>
      </w:pPr>
      <w:bookmarkStart w:id="94" w:name="_Toc525745090"/>
      <w:bookmarkStart w:id="95" w:name="_Toc534722158"/>
      <w:bookmarkStart w:id="96" w:name="_Toc8137202"/>
      <w:bookmarkStart w:id="97" w:name="_Toc22629007"/>
      <w:r w:rsidRPr="00034361">
        <w:rPr>
          <w:color w:val="5B9BD5" w:themeColor="accent5"/>
        </w:rPr>
        <w:t>Access to Records (State – City)</w:t>
      </w:r>
      <w:bookmarkEnd w:id="94"/>
      <w:bookmarkEnd w:id="95"/>
      <w:bookmarkEnd w:id="96"/>
      <w:bookmarkEnd w:id="97"/>
    </w:p>
    <w:p w14:paraId="3C3FD384" w14:textId="57C7FBF4" w:rsidR="00034361" w:rsidRPr="0044651B" w:rsidRDefault="00034361" w:rsidP="000307CA">
      <w:pPr>
        <w:pStyle w:val="BodyText"/>
        <w:widowControl/>
        <w:tabs>
          <w:tab w:val="left" w:pos="10080"/>
        </w:tabs>
        <w:rPr>
          <w:rFonts w:ascii="Calibri" w:hAnsi="Calibri" w:cs="Calibri"/>
        </w:rPr>
      </w:pPr>
      <w:r w:rsidRPr="0044651B">
        <w:rPr>
          <w:rFonts w:ascii="Calibri" w:hAnsi="Calibri" w:cs="Calibri"/>
        </w:rPr>
        <w:t>24 C</w:t>
      </w:r>
      <w:r w:rsidR="00A17C51">
        <w:rPr>
          <w:rFonts w:ascii="Calibri" w:hAnsi="Calibri" w:cs="Calibri"/>
        </w:rPr>
        <w:t>.</w:t>
      </w:r>
      <w:r w:rsidRPr="0044651B">
        <w:rPr>
          <w:rFonts w:ascii="Calibri" w:hAnsi="Calibri" w:cs="Calibri"/>
        </w:rPr>
        <w:t>F</w:t>
      </w:r>
      <w:r w:rsidR="00A17C51">
        <w:rPr>
          <w:rFonts w:ascii="Calibri" w:hAnsi="Calibri" w:cs="Calibri"/>
        </w:rPr>
        <w:t>.</w:t>
      </w:r>
      <w:r w:rsidRPr="0044651B">
        <w:rPr>
          <w:rFonts w:ascii="Calibri" w:hAnsi="Calibri" w:cs="Calibri"/>
        </w:rPr>
        <w:t>R</w:t>
      </w:r>
      <w:r w:rsidR="00A17C51">
        <w:rPr>
          <w:rFonts w:ascii="Calibri" w:hAnsi="Calibri" w:cs="Calibri"/>
        </w:rPr>
        <w:t>.</w:t>
      </w:r>
      <w:r w:rsidRPr="0044651B">
        <w:rPr>
          <w:rFonts w:ascii="Calibri" w:hAnsi="Calibri" w:cs="Calibri"/>
        </w:rPr>
        <w:t xml:space="preserve"> 570.49 Recordkeeping requirements:</w:t>
      </w:r>
    </w:p>
    <w:p w14:paraId="77A246EA" w14:textId="77777777" w:rsidR="00034361" w:rsidRPr="00AB1915" w:rsidRDefault="00034361" w:rsidP="000307CA">
      <w:pPr>
        <w:tabs>
          <w:tab w:val="left" w:pos="10080"/>
        </w:tabs>
        <w:spacing w:after="0" w:line="240" w:lineRule="auto"/>
        <w:ind w:left="576"/>
        <w:rPr>
          <w:rFonts w:ascii="Calibri" w:hAnsi="Calibri" w:cs="Calibri"/>
          <w:sz w:val="24"/>
          <w:szCs w:val="24"/>
        </w:rPr>
      </w:pPr>
      <w:r w:rsidRPr="00AB1915">
        <w:rPr>
          <w:rFonts w:ascii="Calibri" w:hAnsi="Calibri" w:cs="Calibri"/>
          <w:sz w:val="24"/>
          <w:szCs w:val="24"/>
        </w:rPr>
        <w:t>(c) Access to records.</w:t>
      </w:r>
    </w:p>
    <w:p w14:paraId="278788A7" w14:textId="0285AC87" w:rsidR="00034361" w:rsidRPr="0073587D" w:rsidRDefault="0073587D" w:rsidP="00E14863">
      <w:pPr>
        <w:pStyle w:val="ListParagraph"/>
        <w:numPr>
          <w:ilvl w:val="0"/>
          <w:numId w:val="24"/>
        </w:numPr>
        <w:tabs>
          <w:tab w:val="left" w:pos="1500"/>
          <w:tab w:val="left" w:pos="1501"/>
          <w:tab w:val="left" w:pos="10080"/>
        </w:tabs>
        <w:autoSpaceDE w:val="0"/>
        <w:autoSpaceDN w:val="0"/>
        <w:spacing w:after="0" w:line="240" w:lineRule="auto"/>
        <w:rPr>
          <w:rFonts w:ascii="Calibri" w:hAnsi="Calibri" w:cs="Calibri"/>
          <w:sz w:val="24"/>
        </w:rPr>
      </w:pPr>
      <w:r w:rsidRPr="0073587D">
        <w:rPr>
          <w:rFonts w:ascii="Calibri" w:hAnsi="Calibri" w:cs="Calibri"/>
          <w:sz w:val="24"/>
        </w:rPr>
        <w:t xml:space="preserve"> </w:t>
      </w:r>
      <w:r w:rsidR="00034361" w:rsidRPr="0073587D">
        <w:rPr>
          <w:rFonts w:ascii="Calibri" w:hAnsi="Calibri" w:cs="Calibri"/>
          <w:sz w:val="24"/>
        </w:rPr>
        <w:t xml:space="preserve">Representatives of HUD, </w:t>
      </w:r>
      <w:r w:rsidR="002E0346">
        <w:rPr>
          <w:rFonts w:ascii="Calibri" w:hAnsi="Calibri" w:cs="Calibri"/>
          <w:sz w:val="24"/>
        </w:rPr>
        <w:t xml:space="preserve">GLO, </w:t>
      </w:r>
      <w:r w:rsidR="00034361" w:rsidRPr="0073587D">
        <w:rPr>
          <w:rFonts w:ascii="Calibri" w:hAnsi="Calibri" w:cs="Calibri"/>
          <w:sz w:val="24"/>
        </w:rPr>
        <w:t>the Inspector General, and the General Accounting Office shall have access to all books, accounts, records, reports, files, and other papers, or property pertaining to the administration, receipt and use of CDBG funds and necessary to facilitate such reviews and audits.</w:t>
      </w:r>
    </w:p>
    <w:p w14:paraId="15923C12" w14:textId="12164762" w:rsidR="00034361" w:rsidRPr="0073587D" w:rsidRDefault="00034361" w:rsidP="00E14863">
      <w:pPr>
        <w:pStyle w:val="ListParagraph"/>
        <w:numPr>
          <w:ilvl w:val="0"/>
          <w:numId w:val="24"/>
        </w:numPr>
        <w:tabs>
          <w:tab w:val="left" w:pos="1500"/>
          <w:tab w:val="left" w:pos="1501"/>
          <w:tab w:val="left" w:pos="10080"/>
        </w:tabs>
        <w:autoSpaceDE w:val="0"/>
        <w:autoSpaceDN w:val="0"/>
        <w:spacing w:after="0" w:line="240" w:lineRule="auto"/>
        <w:rPr>
          <w:rFonts w:ascii="Calibri" w:hAnsi="Calibri" w:cs="Calibri"/>
          <w:sz w:val="24"/>
        </w:rPr>
      </w:pPr>
      <w:r w:rsidRPr="0073587D">
        <w:rPr>
          <w:rFonts w:ascii="Calibri" w:hAnsi="Calibri" w:cs="Calibri"/>
          <w:sz w:val="24"/>
        </w:rPr>
        <w:t>The State shall provide citizens with reasonable access to records regarding the past use of CDBG funds and ensure that units of general local government provide citizens with reasonable access to records regarding the past use of CDBG funds consistent with State or local requirements concerning the privacy of personal records.</w:t>
      </w:r>
    </w:p>
    <w:p w14:paraId="2F085472" w14:textId="6D9C55A3" w:rsidR="00812B0A" w:rsidRDefault="00812B0A" w:rsidP="000307CA">
      <w:pPr>
        <w:pStyle w:val="BodyText"/>
        <w:widowControl/>
        <w:tabs>
          <w:tab w:val="left" w:pos="10080"/>
        </w:tabs>
        <w:rPr>
          <w:rFonts w:ascii="Calibri" w:hAnsi="Calibri" w:cs="Calibri"/>
        </w:rPr>
      </w:pPr>
    </w:p>
    <w:p w14:paraId="670AC297" w14:textId="5C3011BC" w:rsidR="00812B0A" w:rsidRPr="00A02D3C" w:rsidRDefault="00812B0A" w:rsidP="00812B0A">
      <w:pPr>
        <w:pStyle w:val="Heading2"/>
        <w:spacing w:before="0" w:line="240" w:lineRule="auto"/>
        <w:rPr>
          <w:color w:val="5B9BD5" w:themeColor="accent5"/>
        </w:rPr>
      </w:pPr>
      <w:bookmarkStart w:id="98" w:name="_Toc525745091"/>
      <w:bookmarkStart w:id="99" w:name="_Toc534722159"/>
      <w:bookmarkStart w:id="100" w:name="_Toc22629008"/>
      <w:r w:rsidRPr="00A02D3C">
        <w:rPr>
          <w:color w:val="5B9BD5" w:themeColor="accent5"/>
        </w:rPr>
        <w:t>Audit Requirements</w:t>
      </w:r>
      <w:bookmarkEnd w:id="98"/>
      <w:bookmarkEnd w:id="99"/>
      <w:bookmarkEnd w:id="100"/>
    </w:p>
    <w:p w14:paraId="0CAEBDF9" w14:textId="321E8E31" w:rsidR="004B1664" w:rsidRPr="009D2B46" w:rsidRDefault="00812B0A" w:rsidP="009D2B46">
      <w:pPr>
        <w:spacing w:after="0" w:line="240" w:lineRule="auto"/>
        <w:rPr>
          <w:rFonts w:ascii="Calibri" w:hAnsi="Calibri" w:cs="Calibri"/>
          <w:sz w:val="24"/>
          <w:szCs w:val="24"/>
          <w:lang w:bidi="en-US"/>
        </w:rPr>
      </w:pPr>
      <w:r w:rsidRPr="00AB1915">
        <w:rPr>
          <w:rFonts w:ascii="Calibri" w:hAnsi="Calibri" w:cs="Calibri"/>
          <w:sz w:val="24"/>
          <w:szCs w:val="24"/>
          <w:lang w:bidi="en-US"/>
        </w:rPr>
        <w:t>In accordance with Subpart F of 2 C</w:t>
      </w:r>
      <w:r w:rsidR="00E56875">
        <w:rPr>
          <w:rFonts w:ascii="Calibri" w:hAnsi="Calibri" w:cs="Calibri"/>
          <w:sz w:val="24"/>
          <w:szCs w:val="24"/>
          <w:lang w:bidi="en-US"/>
        </w:rPr>
        <w:t>.</w:t>
      </w:r>
      <w:r w:rsidRPr="00AB1915">
        <w:rPr>
          <w:rFonts w:ascii="Calibri" w:hAnsi="Calibri" w:cs="Calibri"/>
          <w:sz w:val="24"/>
          <w:szCs w:val="24"/>
          <w:lang w:bidi="en-US"/>
        </w:rPr>
        <w:t>F</w:t>
      </w:r>
      <w:r w:rsidR="00E56875">
        <w:rPr>
          <w:rFonts w:ascii="Calibri" w:hAnsi="Calibri" w:cs="Calibri"/>
          <w:sz w:val="24"/>
          <w:szCs w:val="24"/>
          <w:lang w:bidi="en-US"/>
        </w:rPr>
        <w:t>.</w:t>
      </w:r>
      <w:r w:rsidRPr="00AB1915">
        <w:rPr>
          <w:rFonts w:ascii="Calibri" w:hAnsi="Calibri" w:cs="Calibri"/>
          <w:sz w:val="24"/>
          <w:szCs w:val="24"/>
          <w:lang w:bidi="en-US"/>
        </w:rPr>
        <w:t>R</w:t>
      </w:r>
      <w:r w:rsidR="00E56875">
        <w:rPr>
          <w:rFonts w:ascii="Calibri" w:hAnsi="Calibri" w:cs="Calibri"/>
          <w:sz w:val="24"/>
          <w:szCs w:val="24"/>
          <w:lang w:bidi="en-US"/>
        </w:rPr>
        <w:t>. Part</w:t>
      </w:r>
      <w:r w:rsidRPr="00AB1915">
        <w:rPr>
          <w:rFonts w:ascii="Calibri" w:hAnsi="Calibri" w:cs="Calibri"/>
          <w:sz w:val="24"/>
          <w:szCs w:val="24"/>
          <w:lang w:bidi="en-US"/>
        </w:rPr>
        <w:t xml:space="preserve"> 200, non-federal entities that expend $750,000 or more during their fiscal year in federal awards must have a single or program-specific audit conducted for that year in accordance with the provisions therein.  HCDD is responsible for conducting reviews of these single or program-specific audit reports and for coordinating the issuance of management decisions for audit findings</w:t>
      </w:r>
      <w:r>
        <w:rPr>
          <w:rFonts w:ascii="Calibri" w:hAnsi="Calibri" w:cs="Calibri"/>
          <w:sz w:val="24"/>
          <w:szCs w:val="24"/>
          <w:lang w:bidi="en-US"/>
        </w:rPr>
        <w:t xml:space="preserve"> relating to HCDD provided federal funds.</w:t>
      </w:r>
    </w:p>
    <w:p w14:paraId="625840B1" w14:textId="77777777" w:rsidR="004B1664" w:rsidRPr="0022369F" w:rsidRDefault="004B1664" w:rsidP="000307CA">
      <w:pPr>
        <w:pStyle w:val="BodyText"/>
        <w:widowControl/>
        <w:tabs>
          <w:tab w:val="left" w:pos="10080"/>
        </w:tabs>
        <w:rPr>
          <w:rFonts w:ascii="Calibri" w:hAnsi="Calibri" w:cs="Calibri"/>
        </w:rPr>
      </w:pPr>
    </w:p>
    <w:p w14:paraId="4CE22794" w14:textId="77777777" w:rsidR="00034361" w:rsidRPr="00034361" w:rsidRDefault="00034361" w:rsidP="000307CA">
      <w:pPr>
        <w:pStyle w:val="Heading2"/>
        <w:spacing w:before="0" w:line="240" w:lineRule="auto"/>
        <w:rPr>
          <w:color w:val="5B9BD5" w:themeColor="accent5"/>
        </w:rPr>
      </w:pPr>
      <w:bookmarkStart w:id="101" w:name="_Toc525745092"/>
      <w:bookmarkStart w:id="102" w:name="_Toc534722160"/>
      <w:bookmarkStart w:id="103" w:name="_Toc8137203"/>
      <w:bookmarkStart w:id="104" w:name="_Toc22629009"/>
      <w:r w:rsidRPr="00034361">
        <w:rPr>
          <w:color w:val="5B9BD5" w:themeColor="accent5"/>
        </w:rPr>
        <w:t>Fraud, Waste and Abuse</w:t>
      </w:r>
      <w:bookmarkEnd w:id="101"/>
      <w:bookmarkEnd w:id="102"/>
      <w:bookmarkEnd w:id="103"/>
      <w:bookmarkEnd w:id="104"/>
    </w:p>
    <w:p w14:paraId="161B234E" w14:textId="46DC4117" w:rsidR="00034361" w:rsidRDefault="00034361" w:rsidP="000307CA">
      <w:pPr>
        <w:spacing w:after="0" w:line="240" w:lineRule="auto"/>
        <w:rPr>
          <w:rFonts w:ascii="Calibri" w:hAnsi="Calibri" w:cs="Calibri"/>
          <w:sz w:val="24"/>
          <w:szCs w:val="24"/>
        </w:rPr>
      </w:pPr>
      <w:bookmarkStart w:id="105" w:name="_Toc525728365"/>
      <w:bookmarkStart w:id="106" w:name="_Toc525732800"/>
      <w:bookmarkStart w:id="107" w:name="_Toc525733542"/>
      <w:bookmarkStart w:id="108" w:name="_Toc525734027"/>
      <w:bookmarkStart w:id="109" w:name="_Toc525735400"/>
      <w:r w:rsidRPr="00AB1915">
        <w:rPr>
          <w:rFonts w:ascii="Calibri" w:hAnsi="Calibri" w:cs="Calibri"/>
          <w:sz w:val="24"/>
          <w:szCs w:val="24"/>
          <w:lang w:bidi="en-US"/>
        </w:rPr>
        <w:t>The City will assess all program systems, processes and Standard Operating Procedures from an anti-</w:t>
      </w:r>
      <w:r w:rsidRPr="00AB1915">
        <w:rPr>
          <w:rFonts w:ascii="Calibri" w:hAnsi="Calibri" w:cs="Calibri"/>
          <w:sz w:val="24"/>
          <w:szCs w:val="24"/>
        </w:rPr>
        <w:t xml:space="preserve">fraud, waste, and abuse perspective.  The City will provide anti-fraud training to program staff.  Anyone with information regarding known or suspected misappropriation of funds or resources is encouraged to report the information to the City by sending a written report via U.S. mail to the following address:  City of Houston, Housing and Community Development Department, </w:t>
      </w:r>
      <w:r w:rsidR="002E0346">
        <w:rPr>
          <w:rFonts w:ascii="Calibri" w:hAnsi="Calibri" w:cs="Calibri"/>
          <w:sz w:val="24"/>
          <w:szCs w:val="24"/>
        </w:rPr>
        <w:t>2100 Travis St.</w:t>
      </w:r>
      <w:r w:rsidRPr="00AB1915">
        <w:rPr>
          <w:rFonts w:ascii="Calibri" w:hAnsi="Calibri" w:cs="Calibri"/>
          <w:sz w:val="24"/>
          <w:szCs w:val="24"/>
        </w:rPr>
        <w:t>, Houston, Texas 7700</w:t>
      </w:r>
      <w:r w:rsidR="002E0346">
        <w:rPr>
          <w:rFonts w:ascii="Calibri" w:hAnsi="Calibri" w:cs="Calibri"/>
          <w:sz w:val="24"/>
          <w:szCs w:val="24"/>
        </w:rPr>
        <w:t>2</w:t>
      </w:r>
      <w:r w:rsidRPr="00AB1915">
        <w:rPr>
          <w:rFonts w:ascii="Calibri" w:hAnsi="Calibri" w:cs="Calibri"/>
          <w:sz w:val="24"/>
          <w:szCs w:val="24"/>
        </w:rPr>
        <w:t>.</w:t>
      </w:r>
      <w:bookmarkEnd w:id="105"/>
      <w:bookmarkEnd w:id="106"/>
      <w:bookmarkEnd w:id="107"/>
      <w:bookmarkEnd w:id="108"/>
      <w:bookmarkEnd w:id="109"/>
    </w:p>
    <w:p w14:paraId="54A4065C" w14:textId="3394C8A5" w:rsidR="002A6844" w:rsidRDefault="002A6844" w:rsidP="000307CA">
      <w:pPr>
        <w:spacing w:after="0" w:line="240" w:lineRule="auto"/>
        <w:rPr>
          <w:rFonts w:ascii="Calibri" w:hAnsi="Calibri" w:cs="Calibri"/>
          <w:sz w:val="24"/>
          <w:szCs w:val="24"/>
        </w:rPr>
      </w:pPr>
    </w:p>
    <w:p w14:paraId="6DE237E2" w14:textId="2581047C" w:rsidR="002A6844" w:rsidRDefault="002A6844" w:rsidP="000307CA">
      <w:pPr>
        <w:spacing w:after="0" w:line="240" w:lineRule="auto"/>
        <w:rPr>
          <w:rFonts w:ascii="Calibri" w:hAnsi="Calibri" w:cs="Calibri"/>
          <w:sz w:val="24"/>
          <w:szCs w:val="24"/>
        </w:rPr>
      </w:pPr>
      <w:r>
        <w:rPr>
          <w:rFonts w:ascii="Calibri" w:hAnsi="Calibri" w:cs="Calibri"/>
          <w:i/>
          <w:sz w:val="24"/>
          <w:szCs w:val="24"/>
        </w:rPr>
        <w:t xml:space="preserve">Warning: </w:t>
      </w:r>
      <w:r w:rsidRPr="002A6844">
        <w:rPr>
          <w:rFonts w:ascii="Calibri" w:hAnsi="Calibri" w:cs="Calibri"/>
          <w:sz w:val="24"/>
          <w:szCs w:val="24"/>
        </w:rPr>
        <w:t xml:space="preserve">Any person who knowingly makes a false claim or statement to HUD may be subject to civil or criminal penalties under 18 U.S.C. </w:t>
      </w:r>
      <w:r w:rsidR="00A17C51">
        <w:rPr>
          <w:rFonts w:ascii="Calibri" w:hAnsi="Calibri" w:cs="Calibri"/>
          <w:sz w:val="24"/>
          <w:szCs w:val="24"/>
        </w:rPr>
        <w:t xml:space="preserve">§ </w:t>
      </w:r>
      <w:r w:rsidRPr="002A6844">
        <w:rPr>
          <w:rFonts w:ascii="Calibri" w:hAnsi="Calibri" w:cs="Calibri"/>
          <w:sz w:val="24"/>
          <w:szCs w:val="24"/>
        </w:rPr>
        <w:t xml:space="preserve">287, </w:t>
      </w:r>
      <w:r w:rsidR="00A17C51">
        <w:rPr>
          <w:rFonts w:ascii="Calibri" w:hAnsi="Calibri" w:cs="Calibri"/>
          <w:sz w:val="24"/>
          <w:szCs w:val="24"/>
        </w:rPr>
        <w:t xml:space="preserve">18 U.S.C. § </w:t>
      </w:r>
      <w:r w:rsidRPr="002A6844">
        <w:rPr>
          <w:rFonts w:ascii="Calibri" w:hAnsi="Calibri" w:cs="Calibri"/>
          <w:sz w:val="24"/>
          <w:szCs w:val="24"/>
        </w:rPr>
        <w:t xml:space="preserve">1001 and 31 U.S.C. </w:t>
      </w:r>
      <w:r w:rsidR="00A17C51">
        <w:rPr>
          <w:rFonts w:ascii="Calibri" w:hAnsi="Calibri" w:cs="Calibri"/>
          <w:sz w:val="24"/>
          <w:szCs w:val="24"/>
        </w:rPr>
        <w:t xml:space="preserve">§ </w:t>
      </w:r>
      <w:r w:rsidRPr="002A6844">
        <w:rPr>
          <w:rFonts w:ascii="Calibri" w:hAnsi="Calibri" w:cs="Calibri"/>
          <w:sz w:val="24"/>
          <w:szCs w:val="24"/>
        </w:rPr>
        <w:t>3729.</w:t>
      </w:r>
    </w:p>
    <w:p w14:paraId="50595B55" w14:textId="77777777" w:rsidR="004E0BE6" w:rsidRPr="00034361" w:rsidRDefault="004E0BE6" w:rsidP="000307CA">
      <w:pPr>
        <w:spacing w:after="0" w:line="240" w:lineRule="auto"/>
        <w:rPr>
          <w:rFonts w:ascii="Calibri" w:hAnsi="Calibri" w:cs="Calibri"/>
          <w:sz w:val="24"/>
          <w:szCs w:val="24"/>
        </w:rPr>
      </w:pPr>
    </w:p>
    <w:p w14:paraId="2A261CD6" w14:textId="77777777" w:rsidR="00034361" w:rsidRPr="00034361" w:rsidRDefault="00034361" w:rsidP="000307CA">
      <w:pPr>
        <w:pStyle w:val="Heading2"/>
        <w:spacing w:before="0" w:line="240" w:lineRule="auto"/>
        <w:rPr>
          <w:color w:val="5B9BD5" w:themeColor="accent5"/>
        </w:rPr>
      </w:pPr>
      <w:bookmarkStart w:id="110" w:name="_Toc525745094"/>
      <w:bookmarkStart w:id="111" w:name="_Toc534722161"/>
      <w:bookmarkStart w:id="112" w:name="_Toc8137204"/>
      <w:bookmarkStart w:id="113" w:name="_Toc22629010"/>
      <w:r w:rsidRPr="00034361">
        <w:rPr>
          <w:color w:val="5B9BD5" w:themeColor="accent5"/>
        </w:rPr>
        <w:t>Conflicts of Interest</w:t>
      </w:r>
      <w:bookmarkEnd w:id="110"/>
      <w:bookmarkEnd w:id="111"/>
      <w:bookmarkEnd w:id="112"/>
      <w:bookmarkEnd w:id="113"/>
    </w:p>
    <w:p w14:paraId="132D0BBF" w14:textId="5345B16D" w:rsidR="00034361" w:rsidRDefault="00034361" w:rsidP="000307CA">
      <w:pPr>
        <w:pStyle w:val="BodyText"/>
        <w:widowControl/>
        <w:tabs>
          <w:tab w:val="left" w:pos="10080"/>
        </w:tabs>
        <w:rPr>
          <w:rFonts w:ascii="Calibri" w:hAnsi="Calibri" w:cs="Calibri"/>
        </w:rPr>
      </w:pPr>
      <w:r w:rsidRPr="0022369F">
        <w:rPr>
          <w:rFonts w:ascii="Calibri" w:hAnsi="Calibri" w:cs="Calibri"/>
        </w:rPr>
        <w:t xml:space="preserve">The program requires all program staff to disclose any relationship with an applicant or contractor. Program staff, program administrators, and contractors who disclose such relationships are placed in </w:t>
      </w:r>
      <w:r w:rsidRPr="0022369F">
        <w:rPr>
          <w:rFonts w:ascii="Calibri" w:hAnsi="Calibri" w:cs="Calibri"/>
        </w:rPr>
        <w:lastRenderedPageBreak/>
        <w:t xml:space="preserve">roles where there is no opportunity for them to display favoritism or collude to financially or otherwise benefit themselves, the applicant, or the contractor.  For example, a customer representative may not perform work on the application of family.  For purposes of this </w:t>
      </w:r>
      <w:r w:rsidR="00A17C51">
        <w:rPr>
          <w:rFonts w:ascii="Calibri" w:hAnsi="Calibri" w:cs="Calibri"/>
        </w:rPr>
        <w:t>requirement</w:t>
      </w:r>
      <w:r w:rsidRPr="0022369F">
        <w:rPr>
          <w:rFonts w:ascii="Calibri" w:hAnsi="Calibri" w:cs="Calibri"/>
        </w:rPr>
        <w:t>, “family” is defined to include spouse, parents, mother-in-law, father- in-law, grandparents, siblings, brother-in-law, sister-in-law, and children of an official covered under the CDBG conflict of interest regulations at 24 C</w:t>
      </w:r>
      <w:r w:rsidR="00A17C51">
        <w:rPr>
          <w:rFonts w:ascii="Calibri" w:hAnsi="Calibri" w:cs="Calibri"/>
        </w:rPr>
        <w:t>.</w:t>
      </w:r>
      <w:r w:rsidRPr="0022369F">
        <w:rPr>
          <w:rFonts w:ascii="Calibri" w:hAnsi="Calibri" w:cs="Calibri"/>
        </w:rPr>
        <w:t>F</w:t>
      </w:r>
      <w:r w:rsidR="00A17C51">
        <w:rPr>
          <w:rFonts w:ascii="Calibri" w:hAnsi="Calibri" w:cs="Calibri"/>
        </w:rPr>
        <w:t>.</w:t>
      </w:r>
      <w:r w:rsidRPr="0022369F">
        <w:rPr>
          <w:rFonts w:ascii="Calibri" w:hAnsi="Calibri" w:cs="Calibri"/>
        </w:rPr>
        <w:t>R</w:t>
      </w:r>
      <w:r w:rsidR="00A17C51">
        <w:rPr>
          <w:rFonts w:ascii="Calibri" w:hAnsi="Calibri" w:cs="Calibri"/>
        </w:rPr>
        <w:t>. §</w:t>
      </w:r>
      <w:r w:rsidRPr="0022369F">
        <w:rPr>
          <w:rFonts w:ascii="Calibri" w:hAnsi="Calibri" w:cs="Calibri"/>
        </w:rPr>
        <w:t xml:space="preserve"> 570.489(h).</w:t>
      </w:r>
    </w:p>
    <w:p w14:paraId="30057FC7" w14:textId="77777777" w:rsidR="00ED29E0" w:rsidRPr="0022369F" w:rsidRDefault="00ED29E0" w:rsidP="000307CA">
      <w:pPr>
        <w:pStyle w:val="BodyText"/>
        <w:widowControl/>
        <w:tabs>
          <w:tab w:val="left" w:pos="10080"/>
        </w:tabs>
        <w:rPr>
          <w:rFonts w:ascii="Calibri" w:hAnsi="Calibri" w:cs="Calibri"/>
        </w:rPr>
      </w:pPr>
    </w:p>
    <w:p w14:paraId="4228553C" w14:textId="1691C6F0" w:rsidR="00034361" w:rsidRDefault="00034361" w:rsidP="000307CA">
      <w:pPr>
        <w:pStyle w:val="BodyText"/>
        <w:widowControl/>
        <w:tabs>
          <w:tab w:val="left" w:pos="10080"/>
        </w:tabs>
        <w:rPr>
          <w:rFonts w:ascii="Calibri" w:hAnsi="Calibri" w:cs="Calibri"/>
        </w:rPr>
      </w:pPr>
      <w:r w:rsidRPr="0022369F">
        <w:rPr>
          <w:rFonts w:ascii="Calibri" w:hAnsi="Calibri" w:cs="Calibri"/>
        </w:rPr>
        <w:t>HCDD may consider granting an exception to the conflict of interest provisions per 24 C</w:t>
      </w:r>
      <w:r w:rsidR="00A17C51">
        <w:rPr>
          <w:rFonts w:ascii="Calibri" w:hAnsi="Calibri" w:cs="Calibri"/>
        </w:rPr>
        <w:t>.</w:t>
      </w:r>
      <w:r w:rsidRPr="0022369F">
        <w:rPr>
          <w:rFonts w:ascii="Calibri" w:hAnsi="Calibri" w:cs="Calibri"/>
        </w:rPr>
        <w:t>F</w:t>
      </w:r>
      <w:r w:rsidR="00A17C51">
        <w:rPr>
          <w:rFonts w:ascii="Calibri" w:hAnsi="Calibri" w:cs="Calibri"/>
        </w:rPr>
        <w:t>.</w:t>
      </w:r>
      <w:r w:rsidRPr="0022369F">
        <w:rPr>
          <w:rFonts w:ascii="Calibri" w:hAnsi="Calibri" w:cs="Calibri"/>
        </w:rPr>
        <w:t>R</w:t>
      </w:r>
      <w:r w:rsidR="00A17C51">
        <w:rPr>
          <w:rFonts w:ascii="Calibri" w:hAnsi="Calibri" w:cs="Calibri"/>
        </w:rPr>
        <w:t>. §</w:t>
      </w:r>
      <w:r w:rsidRPr="0022369F">
        <w:rPr>
          <w:rFonts w:ascii="Calibri" w:hAnsi="Calibri" w:cs="Calibri"/>
        </w:rPr>
        <w:t xml:space="preserve"> 570.489(h)(4) if HCDD has determined that the subrecipient, vendor or contractor has adequately and publicly addressed all the concerns generated by the conflict of interest and that an exception would serve to further the purposes of Title I of the </w:t>
      </w:r>
      <w:r w:rsidR="00636655">
        <w:rPr>
          <w:rFonts w:ascii="Calibri" w:hAnsi="Calibri" w:cs="Calibri"/>
        </w:rPr>
        <w:t xml:space="preserve">HCDA </w:t>
      </w:r>
      <w:r w:rsidRPr="0022369F">
        <w:rPr>
          <w:rFonts w:ascii="Calibri" w:hAnsi="Calibri" w:cs="Calibri"/>
        </w:rPr>
        <w:t>and the subrecipient has complied with the requirements listed in 24 C</w:t>
      </w:r>
      <w:r w:rsidR="00A17C51">
        <w:rPr>
          <w:rFonts w:ascii="Calibri" w:hAnsi="Calibri" w:cs="Calibri"/>
        </w:rPr>
        <w:t>.</w:t>
      </w:r>
      <w:r w:rsidRPr="0022369F">
        <w:rPr>
          <w:rFonts w:ascii="Calibri" w:hAnsi="Calibri" w:cs="Calibri"/>
        </w:rPr>
        <w:t>F</w:t>
      </w:r>
      <w:r w:rsidR="00A17C51">
        <w:rPr>
          <w:rFonts w:ascii="Calibri" w:hAnsi="Calibri" w:cs="Calibri"/>
        </w:rPr>
        <w:t>.</w:t>
      </w:r>
      <w:r w:rsidRPr="0022369F">
        <w:rPr>
          <w:rFonts w:ascii="Calibri" w:hAnsi="Calibri" w:cs="Calibri"/>
        </w:rPr>
        <w:t>R</w:t>
      </w:r>
      <w:r w:rsidR="00A17C51">
        <w:rPr>
          <w:rFonts w:ascii="Calibri" w:hAnsi="Calibri" w:cs="Calibri"/>
        </w:rPr>
        <w:t>. §</w:t>
      </w:r>
      <w:r w:rsidRPr="0022369F">
        <w:rPr>
          <w:rFonts w:ascii="Calibri" w:hAnsi="Calibri" w:cs="Calibri"/>
        </w:rPr>
        <w:t xml:space="preserve"> 570.489(h)(4)(i) and (ii).  HCDD considers whether the exception provides a significant cost benefit or essential degree of expertise; whether the opportunity was provided for under open competitive bidding or negotiation; whether the person affected is an LMI person, whether the affected person has withdrawn from his or her functions or responsibilities; whether the interest or benefit was present before the affected person was in a position to benefit from the conflict of interest; or whether undue hardship results from failure to grant the exception.</w:t>
      </w:r>
    </w:p>
    <w:p w14:paraId="478679A2" w14:textId="77777777" w:rsidR="004E0BE6" w:rsidRPr="0022369F" w:rsidRDefault="004E0BE6" w:rsidP="000307CA">
      <w:pPr>
        <w:pStyle w:val="BodyText"/>
        <w:widowControl/>
        <w:tabs>
          <w:tab w:val="left" w:pos="10080"/>
        </w:tabs>
        <w:rPr>
          <w:rFonts w:ascii="Calibri" w:hAnsi="Calibri" w:cs="Calibri"/>
        </w:rPr>
      </w:pPr>
    </w:p>
    <w:p w14:paraId="205AB724" w14:textId="77777777" w:rsidR="00034361" w:rsidRPr="00034361" w:rsidRDefault="00034361" w:rsidP="000307CA">
      <w:pPr>
        <w:pStyle w:val="Heading2"/>
        <w:spacing w:before="0" w:line="240" w:lineRule="auto"/>
        <w:rPr>
          <w:color w:val="5B9BD5" w:themeColor="accent5"/>
        </w:rPr>
      </w:pPr>
      <w:bookmarkStart w:id="114" w:name="_Toc525745095"/>
      <w:bookmarkStart w:id="115" w:name="_Toc534722162"/>
      <w:bookmarkStart w:id="116" w:name="_Toc8137205"/>
      <w:bookmarkStart w:id="117" w:name="_Toc22629011"/>
      <w:r w:rsidRPr="00034361">
        <w:rPr>
          <w:color w:val="5B9BD5" w:themeColor="accent5"/>
        </w:rPr>
        <w:t>Confidentiality/Privacy</w:t>
      </w:r>
      <w:bookmarkEnd w:id="114"/>
      <w:bookmarkEnd w:id="115"/>
      <w:bookmarkEnd w:id="116"/>
      <w:bookmarkEnd w:id="117"/>
    </w:p>
    <w:p w14:paraId="53309979" w14:textId="71899E6E" w:rsidR="00034361" w:rsidRDefault="00034361" w:rsidP="000307CA">
      <w:pPr>
        <w:pStyle w:val="BodyText"/>
        <w:widowControl/>
        <w:tabs>
          <w:tab w:val="left" w:pos="10080"/>
        </w:tabs>
        <w:rPr>
          <w:rFonts w:ascii="Calibri" w:hAnsi="Calibri" w:cs="Calibri"/>
        </w:rPr>
      </w:pPr>
      <w:r w:rsidRPr="0022369F">
        <w:rPr>
          <w:rFonts w:ascii="Calibri" w:hAnsi="Calibri" w:cs="Calibri"/>
        </w:rPr>
        <w:t xml:space="preserve">The </w:t>
      </w:r>
      <w:r w:rsidR="00A17C51">
        <w:rPr>
          <w:rFonts w:ascii="Calibri" w:hAnsi="Calibri" w:cs="Calibri"/>
        </w:rPr>
        <w:t>City</w:t>
      </w:r>
      <w:r w:rsidR="00A17C51" w:rsidRPr="0022369F">
        <w:rPr>
          <w:rFonts w:ascii="Calibri" w:hAnsi="Calibri" w:cs="Calibri"/>
        </w:rPr>
        <w:t xml:space="preserve"> </w:t>
      </w:r>
      <w:r w:rsidRPr="0022369F">
        <w:rPr>
          <w:rFonts w:ascii="Calibri" w:hAnsi="Calibri" w:cs="Calibri"/>
        </w:rPr>
        <w:t>is committed to protecting the privacy of all individual stakeholders, including the public and those individuals working on the program.  The program’s policies describe how information is to be handled and protected.  The purpose of this privacy policy is to establish when and under what conditions certain information relating to individuals may be disclosed.</w:t>
      </w:r>
    </w:p>
    <w:p w14:paraId="610D804D" w14:textId="77777777" w:rsidR="00ED29E0" w:rsidRPr="0022369F" w:rsidRDefault="00ED29E0" w:rsidP="000307CA">
      <w:pPr>
        <w:pStyle w:val="BodyText"/>
        <w:widowControl/>
        <w:tabs>
          <w:tab w:val="left" w:pos="10080"/>
        </w:tabs>
        <w:rPr>
          <w:rFonts w:ascii="Calibri" w:hAnsi="Calibri" w:cs="Calibri"/>
        </w:rPr>
      </w:pPr>
    </w:p>
    <w:p w14:paraId="0A7C960B" w14:textId="77777777" w:rsidR="00034361" w:rsidRPr="0022369F" w:rsidRDefault="00034361" w:rsidP="000307CA">
      <w:pPr>
        <w:pStyle w:val="BodyText"/>
        <w:widowControl/>
        <w:tabs>
          <w:tab w:val="left" w:pos="10080"/>
        </w:tabs>
        <w:rPr>
          <w:rFonts w:ascii="Calibri" w:hAnsi="Calibri" w:cs="Calibri"/>
        </w:rPr>
      </w:pPr>
      <w:r w:rsidRPr="0022369F">
        <w:rPr>
          <w:rFonts w:ascii="Calibri" w:hAnsi="Calibri" w:cs="Calibri"/>
        </w:rPr>
        <w:t>The data collected from applicants for the Program may contain personal information on individuals that is covered by the Federal Privacy Act of 1974, as well as applicable state laws.  These laws provide for confidentiality and restrict the disclosure of confidential and personal information.  Unauthorized disclosure of such personal information may result in personal liability with civil and criminal penalties.  The information collected may only be used for limited official purposes:</w:t>
      </w:r>
    </w:p>
    <w:p w14:paraId="6894EABA" w14:textId="77777777" w:rsidR="00034361" w:rsidRPr="0022369F" w:rsidRDefault="00034361" w:rsidP="00E14863">
      <w:pPr>
        <w:pStyle w:val="ListParagraph"/>
        <w:numPr>
          <w:ilvl w:val="0"/>
          <w:numId w:val="15"/>
        </w:numPr>
        <w:tabs>
          <w:tab w:val="left" w:pos="1500"/>
          <w:tab w:val="left" w:pos="1501"/>
          <w:tab w:val="left" w:pos="10080"/>
        </w:tabs>
        <w:autoSpaceDE w:val="0"/>
        <w:autoSpaceDN w:val="0"/>
        <w:spacing w:after="0" w:line="240" w:lineRule="auto"/>
        <w:ind w:left="720"/>
        <w:contextualSpacing w:val="0"/>
        <w:rPr>
          <w:rFonts w:ascii="Calibri" w:eastAsia="Times New Roman" w:hAnsi="Calibri" w:cs="Calibri"/>
          <w:sz w:val="24"/>
          <w:szCs w:val="24"/>
          <w:lang w:bidi="en-US"/>
        </w:rPr>
      </w:pPr>
      <w:r w:rsidRPr="0022369F">
        <w:rPr>
          <w:rFonts w:ascii="Calibri" w:eastAsia="Times New Roman" w:hAnsi="Calibri" w:cs="Calibri"/>
          <w:sz w:val="24"/>
          <w:szCs w:val="24"/>
          <w:lang w:bidi="en-US"/>
        </w:rPr>
        <w:t>Program staff may use personal information throughout the award process to ensure compliance with program requirements, reduce errors, and mitigate fraud and abuse.</w:t>
      </w:r>
    </w:p>
    <w:p w14:paraId="33FDCD65" w14:textId="77777777" w:rsidR="00034361" w:rsidRPr="0022369F" w:rsidRDefault="00034361" w:rsidP="00E14863">
      <w:pPr>
        <w:pStyle w:val="ListParagraph"/>
        <w:numPr>
          <w:ilvl w:val="0"/>
          <w:numId w:val="15"/>
        </w:numPr>
        <w:tabs>
          <w:tab w:val="left" w:pos="1500"/>
          <w:tab w:val="left" w:pos="1501"/>
          <w:tab w:val="left" w:pos="10080"/>
        </w:tabs>
        <w:autoSpaceDE w:val="0"/>
        <w:autoSpaceDN w:val="0"/>
        <w:spacing w:after="0" w:line="240" w:lineRule="auto"/>
        <w:ind w:left="720"/>
        <w:contextualSpacing w:val="0"/>
        <w:rPr>
          <w:rFonts w:ascii="Calibri" w:eastAsia="Times New Roman" w:hAnsi="Calibri" w:cs="Calibri"/>
          <w:sz w:val="24"/>
          <w:szCs w:val="24"/>
          <w:lang w:bidi="en-US"/>
        </w:rPr>
      </w:pPr>
      <w:r w:rsidRPr="0022369F">
        <w:rPr>
          <w:rFonts w:ascii="Calibri" w:eastAsia="Times New Roman" w:hAnsi="Calibri" w:cs="Calibri"/>
          <w:sz w:val="24"/>
          <w:szCs w:val="24"/>
          <w:lang w:bidi="en-US"/>
        </w:rPr>
        <w:t>Independent auditors, when hired by the program to perform a financial or programmatic audit of the program, may use personal information in determining program compliance with all applicable HUD and federal regulations, including the Stafford Act, CDBG-DR requirements and State and local law.</w:t>
      </w:r>
    </w:p>
    <w:p w14:paraId="2ABD5DC8" w14:textId="0BC38C76" w:rsidR="00034361" w:rsidRDefault="00034361" w:rsidP="00E14863">
      <w:pPr>
        <w:pStyle w:val="ListParagraph"/>
        <w:numPr>
          <w:ilvl w:val="0"/>
          <w:numId w:val="15"/>
        </w:numPr>
        <w:tabs>
          <w:tab w:val="left" w:pos="1500"/>
          <w:tab w:val="left" w:pos="1501"/>
          <w:tab w:val="left" w:pos="10080"/>
        </w:tabs>
        <w:autoSpaceDE w:val="0"/>
        <w:autoSpaceDN w:val="0"/>
        <w:spacing w:after="0" w:line="240" w:lineRule="auto"/>
        <w:ind w:left="720"/>
        <w:contextualSpacing w:val="0"/>
        <w:rPr>
          <w:rFonts w:ascii="Calibri" w:eastAsia="Times New Roman" w:hAnsi="Calibri" w:cs="Calibri"/>
          <w:sz w:val="24"/>
          <w:szCs w:val="24"/>
          <w:lang w:bidi="en-US"/>
        </w:rPr>
      </w:pPr>
      <w:r w:rsidRPr="0022369F">
        <w:rPr>
          <w:rFonts w:ascii="Calibri" w:eastAsia="Times New Roman" w:hAnsi="Calibri" w:cs="Calibri"/>
          <w:sz w:val="24"/>
          <w:szCs w:val="24"/>
          <w:lang w:bidi="en-US"/>
        </w:rPr>
        <w:t>HCDD may disclose personal information on an applicant to those with official Power of Attorney for the applicant or for whom the applicant has provided written consent to do so.</w:t>
      </w:r>
    </w:p>
    <w:p w14:paraId="67F036D9" w14:textId="77777777" w:rsidR="00ED29E0" w:rsidRPr="0022369F" w:rsidRDefault="00ED29E0" w:rsidP="00ED29E0">
      <w:pPr>
        <w:pStyle w:val="ListParagraph"/>
        <w:tabs>
          <w:tab w:val="left" w:pos="1500"/>
          <w:tab w:val="left" w:pos="1501"/>
          <w:tab w:val="left" w:pos="10080"/>
        </w:tabs>
        <w:autoSpaceDE w:val="0"/>
        <w:autoSpaceDN w:val="0"/>
        <w:spacing w:after="0" w:line="240" w:lineRule="auto"/>
        <w:contextualSpacing w:val="0"/>
        <w:rPr>
          <w:rFonts w:ascii="Calibri" w:eastAsia="Times New Roman" w:hAnsi="Calibri" w:cs="Calibri"/>
          <w:sz w:val="24"/>
          <w:szCs w:val="24"/>
          <w:lang w:bidi="en-US"/>
        </w:rPr>
      </w:pPr>
    </w:p>
    <w:p w14:paraId="3DC37D13" w14:textId="4D808E30" w:rsidR="00034361" w:rsidRDefault="00034361" w:rsidP="000307CA">
      <w:pPr>
        <w:pStyle w:val="BodyText"/>
        <w:rPr>
          <w:rFonts w:ascii="Calibri" w:hAnsi="Calibri" w:cs="Calibri"/>
        </w:rPr>
      </w:pPr>
      <w:r w:rsidRPr="0022369F">
        <w:rPr>
          <w:rFonts w:ascii="Calibri" w:hAnsi="Calibri" w:cs="Calibri"/>
        </w:rPr>
        <w:t>Organizations assisting HCDD in executing the CDBG-DR Program must comply with all federal and state law enforcement and auditing requests.  This includes, but it not limited to, HUD, FEMA, FBI, Office of the Comptroller, and the O</w:t>
      </w:r>
      <w:r>
        <w:rPr>
          <w:rFonts w:ascii="Calibri" w:hAnsi="Calibri" w:cs="Calibri"/>
        </w:rPr>
        <w:t>ffice of the Inspector General.</w:t>
      </w:r>
    </w:p>
    <w:p w14:paraId="0ED45C4E" w14:textId="08CCAD5E" w:rsidR="00196AE1" w:rsidRDefault="00196AE1" w:rsidP="00E83B9D">
      <w:pPr>
        <w:spacing w:after="0" w:line="240" w:lineRule="auto"/>
        <w:rPr>
          <w:rStyle w:val="IntenseReference"/>
          <w:rFonts w:ascii="Calibri" w:hAnsi="Calibri" w:cs="Calibri"/>
          <w:b w:val="0"/>
          <w:bCs w:val="0"/>
          <w:smallCaps w:val="0"/>
          <w:color w:val="0070C0"/>
          <w:sz w:val="24"/>
          <w:szCs w:val="36"/>
        </w:rPr>
      </w:pPr>
    </w:p>
    <w:p w14:paraId="2F23A1E0" w14:textId="77777777" w:rsidR="00D422DC" w:rsidRPr="00E83B9D" w:rsidRDefault="00D422DC" w:rsidP="00E83B9D">
      <w:pPr>
        <w:spacing w:after="0" w:line="240" w:lineRule="auto"/>
        <w:rPr>
          <w:rStyle w:val="IntenseReference"/>
          <w:rFonts w:ascii="Calibri" w:hAnsi="Calibri" w:cs="Calibri"/>
          <w:b w:val="0"/>
          <w:bCs w:val="0"/>
          <w:smallCaps w:val="0"/>
          <w:color w:val="0070C0"/>
          <w:sz w:val="24"/>
          <w:szCs w:val="36"/>
        </w:rPr>
      </w:pPr>
      <w:bookmarkStart w:id="118" w:name="_GoBack"/>
      <w:bookmarkEnd w:id="118"/>
    </w:p>
    <w:p w14:paraId="285E11DE" w14:textId="6762B67D" w:rsidR="00A94AAB" w:rsidRPr="00196AE1" w:rsidRDefault="00A94AAB" w:rsidP="000307CA">
      <w:pPr>
        <w:pStyle w:val="Title"/>
        <w:spacing w:after="0"/>
        <w:outlineLvl w:val="0"/>
        <w:rPr>
          <w:rStyle w:val="IntenseReference"/>
          <w:rFonts w:ascii="Calibri" w:hAnsi="Calibri" w:cs="Calibri"/>
          <w:b w:val="0"/>
          <w:bCs w:val="0"/>
          <w:color w:val="0070C0"/>
          <w:sz w:val="36"/>
          <w:szCs w:val="36"/>
        </w:rPr>
      </w:pPr>
      <w:bookmarkStart w:id="119" w:name="_Toc8137206"/>
      <w:bookmarkStart w:id="120" w:name="_Toc22629012"/>
      <w:r w:rsidRPr="00C97D84">
        <w:rPr>
          <w:rStyle w:val="IntenseReference"/>
          <w:rFonts w:ascii="Calibri" w:hAnsi="Calibri" w:cs="Calibri"/>
          <w:b w:val="0"/>
          <w:bCs w:val="0"/>
          <w:color w:val="0070C0"/>
          <w:sz w:val="36"/>
          <w:szCs w:val="36"/>
        </w:rPr>
        <w:lastRenderedPageBreak/>
        <w:t>Record Keeping and Reporting</w:t>
      </w:r>
      <w:bookmarkEnd w:id="119"/>
      <w:bookmarkEnd w:id="120"/>
      <w:r w:rsidRPr="00C97D84">
        <w:rPr>
          <w:rStyle w:val="IntenseReference"/>
          <w:rFonts w:ascii="Calibri" w:hAnsi="Calibri" w:cs="Calibri"/>
          <w:b w:val="0"/>
          <w:bCs w:val="0"/>
          <w:color w:val="0070C0"/>
          <w:sz w:val="36"/>
          <w:szCs w:val="36"/>
        </w:rPr>
        <w:t xml:space="preserve"> </w:t>
      </w:r>
    </w:p>
    <w:p w14:paraId="3BE03A08" w14:textId="74DEF88F" w:rsidR="00A94AAB" w:rsidRDefault="00A94AAB" w:rsidP="000307CA">
      <w:pPr>
        <w:spacing w:after="0" w:line="240" w:lineRule="auto"/>
        <w:rPr>
          <w:rFonts w:ascii="Calibri" w:hAnsi="Calibri"/>
          <w:sz w:val="24"/>
          <w:szCs w:val="24"/>
        </w:rPr>
      </w:pPr>
      <w:r w:rsidRPr="00C97D84">
        <w:rPr>
          <w:rFonts w:ascii="Calibri" w:hAnsi="Calibri"/>
          <w:sz w:val="24"/>
          <w:szCs w:val="24"/>
        </w:rPr>
        <w:t>The Multi</w:t>
      </w:r>
      <w:r w:rsidR="00E12EE2">
        <w:rPr>
          <w:rFonts w:ascii="Calibri" w:hAnsi="Calibri"/>
          <w:sz w:val="24"/>
          <w:szCs w:val="24"/>
        </w:rPr>
        <w:t>f</w:t>
      </w:r>
      <w:r w:rsidR="00034361" w:rsidRPr="00C97D84">
        <w:rPr>
          <w:rFonts w:ascii="Calibri" w:hAnsi="Calibri"/>
          <w:sz w:val="24"/>
          <w:szCs w:val="24"/>
        </w:rPr>
        <w:t>amily</w:t>
      </w:r>
      <w:r w:rsidRPr="00C97D84">
        <w:rPr>
          <w:rFonts w:ascii="Calibri" w:hAnsi="Calibri"/>
          <w:sz w:val="24"/>
          <w:szCs w:val="24"/>
        </w:rPr>
        <w:t xml:space="preserve"> </w:t>
      </w:r>
      <w:r w:rsidR="00196AE1">
        <w:rPr>
          <w:rFonts w:ascii="Calibri" w:hAnsi="Calibri"/>
          <w:sz w:val="24"/>
          <w:szCs w:val="24"/>
        </w:rPr>
        <w:t xml:space="preserve">Voluntary Buyout </w:t>
      </w:r>
      <w:r w:rsidRPr="00C97D84">
        <w:rPr>
          <w:rFonts w:ascii="Calibri" w:hAnsi="Calibri"/>
          <w:sz w:val="24"/>
          <w:szCs w:val="24"/>
        </w:rPr>
        <w:t xml:space="preserve">Program will adhere to the </w:t>
      </w:r>
      <w:r w:rsidR="004D0842">
        <w:rPr>
          <w:rFonts w:ascii="Calibri" w:hAnsi="Calibri"/>
          <w:sz w:val="24"/>
          <w:szCs w:val="24"/>
        </w:rPr>
        <w:t>stricter retention</w:t>
      </w:r>
      <w:r w:rsidRPr="00C97D84">
        <w:rPr>
          <w:rFonts w:ascii="Calibri" w:hAnsi="Calibri"/>
          <w:sz w:val="24"/>
          <w:szCs w:val="24"/>
        </w:rPr>
        <w:t xml:space="preserve"> policies of either HCDD, the State of Texas, or HUD for the use of CDBG-DR funds as required by the grant.</w:t>
      </w:r>
    </w:p>
    <w:p w14:paraId="51849641" w14:textId="77777777" w:rsidR="00196AE1" w:rsidRPr="00C97D84" w:rsidRDefault="00196AE1" w:rsidP="000307CA">
      <w:pPr>
        <w:spacing w:after="0" w:line="240" w:lineRule="auto"/>
        <w:rPr>
          <w:rFonts w:ascii="Calibri" w:hAnsi="Calibri"/>
          <w:sz w:val="24"/>
          <w:szCs w:val="24"/>
        </w:rPr>
      </w:pPr>
    </w:p>
    <w:p w14:paraId="241F0A38" w14:textId="66F7CCCF" w:rsidR="00A94AAB" w:rsidRDefault="00A94AAB" w:rsidP="000307CA">
      <w:pPr>
        <w:spacing w:after="0" w:line="240" w:lineRule="auto"/>
        <w:rPr>
          <w:rFonts w:ascii="Calibri" w:hAnsi="Calibri"/>
          <w:sz w:val="24"/>
          <w:szCs w:val="24"/>
        </w:rPr>
      </w:pPr>
      <w:r w:rsidRPr="00C97D84">
        <w:rPr>
          <w:rFonts w:ascii="Calibri" w:hAnsi="Calibri"/>
          <w:sz w:val="24"/>
          <w:szCs w:val="24"/>
        </w:rPr>
        <w:t>All official records on programs and activities shall be maintained for at least five-years beyond the closing of the grant between the GLO and HUD. Applicant records may be maintained electronically.</w:t>
      </w:r>
    </w:p>
    <w:p w14:paraId="4B78FD5C" w14:textId="77777777" w:rsidR="00196AE1" w:rsidRPr="00C97D84" w:rsidRDefault="00196AE1" w:rsidP="000307CA">
      <w:pPr>
        <w:spacing w:after="0" w:line="240" w:lineRule="auto"/>
        <w:rPr>
          <w:rFonts w:ascii="Calibri" w:hAnsi="Calibri"/>
          <w:sz w:val="24"/>
          <w:szCs w:val="24"/>
        </w:rPr>
      </w:pPr>
    </w:p>
    <w:p w14:paraId="221E3440" w14:textId="6521365B" w:rsidR="00196AE1" w:rsidRPr="00196AE1" w:rsidRDefault="00196AE1" w:rsidP="000307CA">
      <w:pPr>
        <w:pStyle w:val="Title"/>
        <w:spacing w:after="0"/>
        <w:outlineLvl w:val="0"/>
        <w:rPr>
          <w:rStyle w:val="IntenseReference"/>
          <w:rFonts w:ascii="Calibri" w:hAnsi="Calibri" w:cs="Calibri"/>
          <w:b w:val="0"/>
          <w:bCs w:val="0"/>
          <w:color w:val="0070C0"/>
          <w:sz w:val="36"/>
          <w:szCs w:val="36"/>
        </w:rPr>
      </w:pPr>
      <w:bookmarkStart w:id="121" w:name="_Toc5020436"/>
      <w:bookmarkStart w:id="122" w:name="_Toc8137207"/>
      <w:bookmarkStart w:id="123" w:name="_Toc22629013"/>
      <w:r w:rsidRPr="00196AE1">
        <w:rPr>
          <w:rStyle w:val="IntenseReference"/>
          <w:rFonts w:ascii="Calibri" w:hAnsi="Calibri" w:cs="Calibri"/>
          <w:b w:val="0"/>
          <w:bCs w:val="0"/>
          <w:color w:val="0070C0"/>
          <w:sz w:val="36"/>
          <w:szCs w:val="36"/>
        </w:rPr>
        <w:t>Conflicts of Interest</w:t>
      </w:r>
      <w:bookmarkEnd w:id="121"/>
      <w:bookmarkEnd w:id="122"/>
      <w:bookmarkEnd w:id="123"/>
    </w:p>
    <w:p w14:paraId="7BC73D8F" w14:textId="6076B24D" w:rsidR="00196AE1" w:rsidRDefault="00196AE1" w:rsidP="000307CA">
      <w:pPr>
        <w:spacing w:after="0" w:line="240" w:lineRule="auto"/>
        <w:rPr>
          <w:rFonts w:ascii="Calibri" w:hAnsi="Calibri"/>
          <w:sz w:val="24"/>
          <w:szCs w:val="24"/>
        </w:rPr>
      </w:pPr>
      <w:r w:rsidRPr="00196AE1">
        <w:rPr>
          <w:rFonts w:ascii="Calibri" w:hAnsi="Calibri"/>
          <w:sz w:val="24"/>
          <w:szCs w:val="24"/>
        </w:rPr>
        <w:t>All applicants will be subject to HCDD’s Conflict of Interest Policy. No employee, agent, or officer, who exercises decision-making responsibility with respect to CDBG-DR funds and activities, is allowed to obtain a financial interest in or benefit from CDBG-DR activities, or have a financial interest in any contract, subcontract, or agreement regarding those activities or in the proceeds of the activities. The Multifamily Program will establish safeguards to prohibit employees, officers, and agents from using their position for a purpose that is, or gives the appearance of being, motivated by a desire for private gain for themselves or others, particularly those with whom they have family, business, or other ties. HCDD may require disclosure of any potential conflict of interest to the governing body of the locality, to the recipient’s legal counsel, and as otherwise may be appropriate.</w:t>
      </w:r>
    </w:p>
    <w:p w14:paraId="25918DA3" w14:textId="6A61B86D" w:rsidR="00196AE1" w:rsidRPr="00C97D84" w:rsidRDefault="00196AE1" w:rsidP="000307CA">
      <w:pPr>
        <w:spacing w:after="0" w:line="240" w:lineRule="auto"/>
        <w:rPr>
          <w:rFonts w:ascii="Calibri" w:hAnsi="Calibri"/>
        </w:rPr>
      </w:pPr>
    </w:p>
    <w:p w14:paraId="5BF37543" w14:textId="65F21E7E" w:rsidR="00196AE1" w:rsidRPr="00357678" w:rsidRDefault="00196AE1" w:rsidP="000307CA">
      <w:pPr>
        <w:pStyle w:val="Title"/>
        <w:spacing w:after="0"/>
        <w:outlineLvl w:val="0"/>
        <w:rPr>
          <w:rStyle w:val="IntenseReference"/>
          <w:rFonts w:ascii="Calibri" w:hAnsi="Calibri" w:cs="Calibri"/>
          <w:b w:val="0"/>
          <w:bCs w:val="0"/>
          <w:color w:val="0070C0"/>
          <w:sz w:val="36"/>
          <w:szCs w:val="36"/>
        </w:rPr>
      </w:pPr>
      <w:bookmarkStart w:id="124" w:name="_Toc5020437"/>
      <w:bookmarkStart w:id="125" w:name="_Toc8137208"/>
      <w:bookmarkStart w:id="126" w:name="_Toc22629014"/>
      <w:r w:rsidRPr="00357678">
        <w:rPr>
          <w:rStyle w:val="IntenseReference"/>
          <w:rFonts w:ascii="Calibri" w:hAnsi="Calibri" w:cs="Calibri"/>
          <w:b w:val="0"/>
          <w:bCs w:val="0"/>
          <w:color w:val="0070C0"/>
          <w:sz w:val="36"/>
          <w:szCs w:val="36"/>
        </w:rPr>
        <w:t>C</w:t>
      </w:r>
      <w:r w:rsidR="00357678">
        <w:rPr>
          <w:rStyle w:val="IntenseReference"/>
          <w:rFonts w:ascii="Calibri" w:hAnsi="Calibri" w:cs="Calibri"/>
          <w:b w:val="0"/>
          <w:bCs w:val="0"/>
          <w:color w:val="0070C0"/>
          <w:sz w:val="36"/>
          <w:szCs w:val="36"/>
        </w:rPr>
        <w:t>hanges, Waivers, and</w:t>
      </w:r>
      <w:r w:rsidRPr="00357678">
        <w:rPr>
          <w:rStyle w:val="IntenseReference"/>
          <w:rFonts w:ascii="Calibri" w:hAnsi="Calibri" w:cs="Calibri"/>
          <w:b w:val="0"/>
          <w:bCs w:val="0"/>
          <w:color w:val="0070C0"/>
          <w:sz w:val="36"/>
          <w:szCs w:val="36"/>
        </w:rPr>
        <w:t xml:space="preserve"> C</w:t>
      </w:r>
      <w:bookmarkEnd w:id="124"/>
      <w:r w:rsidR="00357678">
        <w:rPr>
          <w:rStyle w:val="IntenseReference"/>
          <w:rFonts w:ascii="Calibri" w:hAnsi="Calibri" w:cs="Calibri"/>
          <w:b w:val="0"/>
          <w:bCs w:val="0"/>
          <w:color w:val="0070C0"/>
          <w:sz w:val="36"/>
          <w:szCs w:val="36"/>
        </w:rPr>
        <w:t>onflicts</w:t>
      </w:r>
      <w:bookmarkEnd w:id="125"/>
      <w:bookmarkEnd w:id="126"/>
    </w:p>
    <w:p w14:paraId="25E67D62" w14:textId="77777777" w:rsidR="00196AE1" w:rsidRPr="00196AE1" w:rsidRDefault="00196AE1" w:rsidP="000307CA">
      <w:pPr>
        <w:spacing w:after="0" w:line="240" w:lineRule="auto"/>
        <w:rPr>
          <w:rFonts w:ascii="Calibri" w:hAnsi="Calibri"/>
          <w:sz w:val="24"/>
          <w:szCs w:val="24"/>
        </w:rPr>
      </w:pPr>
      <w:r w:rsidRPr="00196AE1">
        <w:rPr>
          <w:rFonts w:ascii="Calibri" w:hAnsi="Calibri"/>
          <w:sz w:val="24"/>
          <w:szCs w:val="24"/>
        </w:rPr>
        <w:t>Waivers to the requirements in these Guidelines can only be approved by HCDD and the GLO and must be provided in writing.  If these Guidelines conflict with local, state, or federal law, the more stringent requirement will prevail, provided that the requirement does not violate local, state, or federal law.</w:t>
      </w:r>
    </w:p>
    <w:p w14:paraId="1664DD9D" w14:textId="77777777" w:rsidR="00196AE1" w:rsidRPr="00196AE1" w:rsidRDefault="00196AE1" w:rsidP="000307CA">
      <w:pPr>
        <w:spacing w:after="0" w:line="240" w:lineRule="auto"/>
        <w:rPr>
          <w:rFonts w:ascii="Calibri" w:hAnsi="Calibri"/>
          <w:sz w:val="24"/>
          <w:szCs w:val="24"/>
        </w:rPr>
      </w:pPr>
    </w:p>
    <w:p w14:paraId="106EEBEA" w14:textId="5941BAAD" w:rsidR="00661AF8" w:rsidRDefault="00196AE1" w:rsidP="000307CA">
      <w:pPr>
        <w:spacing w:after="0" w:line="240" w:lineRule="auto"/>
        <w:rPr>
          <w:rFonts w:ascii="Calibri" w:hAnsi="Calibri"/>
          <w:sz w:val="24"/>
          <w:szCs w:val="24"/>
        </w:rPr>
      </w:pPr>
      <w:r w:rsidRPr="00C33D6E">
        <w:rPr>
          <w:rFonts w:ascii="Calibri" w:hAnsi="Calibri"/>
          <w:sz w:val="24"/>
          <w:szCs w:val="24"/>
        </w:rPr>
        <w:t xml:space="preserve">HCDD will publish all Program Guidelines on the City’s website [www.recovery.houstontx.gov]. All guidelines will initially be published for a 30-day public comment period. Any subsequent changes to the Guidelines after approval by the Texas General Land Office will be posted for a minimum of (7) seven days for public comment and the latest versions available on the City’s website. </w:t>
      </w:r>
    </w:p>
    <w:p w14:paraId="2EA3A2B9" w14:textId="77777777" w:rsidR="004B1664" w:rsidRPr="00196AE1" w:rsidRDefault="004B1664" w:rsidP="000307CA">
      <w:pPr>
        <w:spacing w:after="0" w:line="240" w:lineRule="auto"/>
        <w:rPr>
          <w:rFonts w:ascii="Calibri" w:hAnsi="Calibri"/>
          <w:sz w:val="24"/>
          <w:szCs w:val="24"/>
        </w:rPr>
      </w:pPr>
    </w:p>
    <w:p w14:paraId="48EC56FE" w14:textId="7AED6789" w:rsidR="00196AE1" w:rsidRPr="00034361" w:rsidRDefault="00196AE1" w:rsidP="000307CA">
      <w:pPr>
        <w:pStyle w:val="Heading2"/>
        <w:spacing w:before="0" w:line="240" w:lineRule="auto"/>
        <w:rPr>
          <w:color w:val="5B9BD5" w:themeColor="accent5"/>
        </w:rPr>
      </w:pPr>
      <w:bookmarkStart w:id="127" w:name="_Toc5020438"/>
      <w:bookmarkStart w:id="128" w:name="_Toc8137209"/>
      <w:bookmarkStart w:id="129" w:name="_Toc22629015"/>
      <w:r w:rsidRPr="00196AE1">
        <w:rPr>
          <w:color w:val="5B9BD5" w:themeColor="accent5"/>
        </w:rPr>
        <w:t>Waivers</w:t>
      </w:r>
      <w:bookmarkEnd w:id="127"/>
      <w:bookmarkEnd w:id="128"/>
      <w:bookmarkEnd w:id="129"/>
    </w:p>
    <w:p w14:paraId="2DD22771"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 xml:space="preserve">As the program matures, it is possible there will be requests for waivers and alternative requirements to these Guidelines. These requested changes and waivers must be consolidated, reviewed, and approved by the GLO.  To request a waiver, HCDD must submit a written request on HCDD letterhead that includes the following: </w:t>
      </w:r>
    </w:p>
    <w:p w14:paraId="723FD35E" w14:textId="77777777" w:rsidR="00196AE1" w:rsidRPr="00C33D6E" w:rsidRDefault="00196AE1" w:rsidP="00C33D6E">
      <w:pPr>
        <w:pStyle w:val="ListParagraph"/>
        <w:numPr>
          <w:ilvl w:val="0"/>
          <w:numId w:val="32"/>
        </w:numPr>
        <w:spacing w:after="0" w:line="240" w:lineRule="auto"/>
        <w:rPr>
          <w:rFonts w:ascii="Calibri" w:hAnsi="Calibri"/>
          <w:sz w:val="24"/>
          <w:szCs w:val="24"/>
        </w:rPr>
      </w:pPr>
      <w:r w:rsidRPr="00C33D6E">
        <w:rPr>
          <w:rFonts w:ascii="Calibri" w:hAnsi="Calibri"/>
          <w:sz w:val="24"/>
          <w:szCs w:val="24"/>
        </w:rPr>
        <w:t xml:space="preserve">The Guideline for which the waiver applies </w:t>
      </w:r>
    </w:p>
    <w:p w14:paraId="159CBBA1" w14:textId="77777777" w:rsidR="00196AE1" w:rsidRPr="00C33D6E" w:rsidRDefault="00196AE1" w:rsidP="00C33D6E">
      <w:pPr>
        <w:pStyle w:val="ListParagraph"/>
        <w:numPr>
          <w:ilvl w:val="0"/>
          <w:numId w:val="32"/>
        </w:numPr>
        <w:spacing w:after="0" w:line="240" w:lineRule="auto"/>
        <w:rPr>
          <w:rFonts w:ascii="Calibri" w:hAnsi="Calibri"/>
          <w:sz w:val="24"/>
          <w:szCs w:val="24"/>
        </w:rPr>
      </w:pPr>
      <w:r w:rsidRPr="00C33D6E">
        <w:rPr>
          <w:rFonts w:ascii="Calibri" w:hAnsi="Calibri"/>
          <w:sz w:val="24"/>
          <w:szCs w:val="24"/>
        </w:rPr>
        <w:t xml:space="preserve">The requirement to be waived or altered </w:t>
      </w:r>
    </w:p>
    <w:p w14:paraId="38D6DA58" w14:textId="469AA71C" w:rsidR="00196AE1" w:rsidRDefault="00196AE1" w:rsidP="00C33D6E">
      <w:pPr>
        <w:pStyle w:val="ListParagraph"/>
        <w:numPr>
          <w:ilvl w:val="0"/>
          <w:numId w:val="32"/>
        </w:numPr>
        <w:spacing w:after="0" w:line="240" w:lineRule="auto"/>
        <w:rPr>
          <w:rFonts w:ascii="Calibri" w:hAnsi="Calibri"/>
          <w:sz w:val="24"/>
          <w:szCs w:val="24"/>
        </w:rPr>
      </w:pPr>
      <w:r w:rsidRPr="00C33D6E">
        <w:rPr>
          <w:rFonts w:ascii="Calibri" w:hAnsi="Calibri"/>
          <w:sz w:val="24"/>
          <w:szCs w:val="24"/>
        </w:rPr>
        <w:t xml:space="preserve">Alternative requirement or language </w:t>
      </w:r>
    </w:p>
    <w:p w14:paraId="0F332E94" w14:textId="478FD979" w:rsidR="00E83B9D" w:rsidRPr="006460DD" w:rsidRDefault="00196AE1" w:rsidP="006460DD">
      <w:pPr>
        <w:pStyle w:val="ListParagraph"/>
        <w:numPr>
          <w:ilvl w:val="0"/>
          <w:numId w:val="32"/>
        </w:numPr>
        <w:spacing w:after="0" w:line="240" w:lineRule="auto"/>
        <w:rPr>
          <w:rFonts w:ascii="Calibri" w:hAnsi="Calibri"/>
          <w:sz w:val="24"/>
          <w:szCs w:val="24"/>
        </w:rPr>
      </w:pPr>
      <w:r w:rsidRPr="006460DD">
        <w:rPr>
          <w:rFonts w:ascii="Calibri" w:hAnsi="Calibri"/>
          <w:sz w:val="24"/>
          <w:szCs w:val="24"/>
        </w:rPr>
        <w:t xml:space="preserve">Detailed statement of how the request is necessary to address unmet recovery needs </w:t>
      </w:r>
    </w:p>
    <w:p w14:paraId="1CA4D18F" w14:textId="77777777" w:rsidR="009D2B46" w:rsidRPr="00196AE1" w:rsidRDefault="009D2B46" w:rsidP="000307CA">
      <w:pPr>
        <w:pStyle w:val="ListParagraph"/>
        <w:spacing w:after="0" w:line="240" w:lineRule="auto"/>
        <w:rPr>
          <w:rFonts w:ascii="Calibri" w:hAnsi="Calibri" w:cs="Calibri"/>
          <w:color w:val="0070C0"/>
          <w:sz w:val="24"/>
          <w:szCs w:val="24"/>
        </w:rPr>
      </w:pPr>
    </w:p>
    <w:p w14:paraId="337E09B2" w14:textId="3A7829CF" w:rsidR="00196AE1" w:rsidRPr="00196AE1" w:rsidRDefault="00196AE1" w:rsidP="000307CA">
      <w:pPr>
        <w:pStyle w:val="Heading2"/>
        <w:spacing w:before="0" w:line="240" w:lineRule="auto"/>
        <w:rPr>
          <w:color w:val="5B9BD5" w:themeColor="accent5"/>
        </w:rPr>
      </w:pPr>
      <w:bookmarkStart w:id="130" w:name="_Toc5020439"/>
      <w:bookmarkStart w:id="131" w:name="_Toc8137210"/>
      <w:bookmarkStart w:id="132" w:name="_Toc22629016"/>
      <w:r w:rsidRPr="00196AE1">
        <w:rPr>
          <w:color w:val="5B9BD5" w:themeColor="accent5"/>
        </w:rPr>
        <w:t>General Program Waiver Request</w:t>
      </w:r>
      <w:bookmarkEnd w:id="130"/>
      <w:bookmarkEnd w:id="131"/>
      <w:bookmarkEnd w:id="132"/>
      <w:r w:rsidRPr="00196AE1">
        <w:rPr>
          <w:color w:val="5B9BD5" w:themeColor="accent5"/>
        </w:rPr>
        <w:t xml:space="preserve"> </w:t>
      </w:r>
    </w:p>
    <w:p w14:paraId="0546C1B1" w14:textId="7C714C6A" w:rsidR="00196AE1" w:rsidRDefault="00196AE1" w:rsidP="000307CA">
      <w:pPr>
        <w:spacing w:after="0" w:line="240" w:lineRule="auto"/>
        <w:rPr>
          <w:rFonts w:ascii="Calibri" w:hAnsi="Calibri"/>
          <w:sz w:val="24"/>
          <w:szCs w:val="24"/>
        </w:rPr>
      </w:pPr>
      <w:r w:rsidRPr="00C33D6E">
        <w:rPr>
          <w:rFonts w:ascii="Calibri" w:hAnsi="Calibri"/>
          <w:sz w:val="24"/>
          <w:szCs w:val="24"/>
        </w:rPr>
        <w:t xml:space="preserve">A General Program Waiver request includes a requested change to the Guidelines for administrative, eligibility, national objective, expenditure deadline, or overall benefit requirements, for which approval </w:t>
      </w:r>
      <w:r w:rsidRPr="00C33D6E">
        <w:rPr>
          <w:rFonts w:ascii="Calibri" w:hAnsi="Calibri"/>
          <w:sz w:val="24"/>
          <w:szCs w:val="24"/>
        </w:rPr>
        <w:lastRenderedPageBreak/>
        <w:t xml:space="preserve">from the GLO is needed within thirty (30) days. The request must demonstrate that the funds will be used for an eligible CDBG-DR eligible activity and meet a national objective. </w:t>
      </w:r>
    </w:p>
    <w:p w14:paraId="218D8202" w14:textId="77777777" w:rsidR="00C33D6E" w:rsidRPr="00C33D6E" w:rsidRDefault="00C33D6E" w:rsidP="000307CA">
      <w:pPr>
        <w:spacing w:after="0" w:line="240" w:lineRule="auto"/>
        <w:rPr>
          <w:rFonts w:ascii="Calibri" w:hAnsi="Calibri"/>
          <w:sz w:val="24"/>
          <w:szCs w:val="24"/>
        </w:rPr>
      </w:pPr>
    </w:p>
    <w:p w14:paraId="06244BB5" w14:textId="7496C601" w:rsidR="00972CE7" w:rsidRPr="00196AE1" w:rsidRDefault="00196AE1" w:rsidP="000307CA">
      <w:pPr>
        <w:spacing w:after="0" w:line="240" w:lineRule="auto"/>
        <w:rPr>
          <w:rStyle w:val="IntenseReference"/>
          <w:rFonts w:ascii="Calibri" w:hAnsi="Calibri" w:cs="Calibri"/>
          <w:b w:val="0"/>
          <w:bCs w:val="0"/>
          <w:smallCaps w:val="0"/>
          <w:color w:val="0070C0"/>
          <w:sz w:val="24"/>
          <w:szCs w:val="24"/>
        </w:rPr>
      </w:pPr>
      <w:r w:rsidRPr="00C33D6E">
        <w:rPr>
          <w:rFonts w:ascii="Calibri" w:hAnsi="Calibri"/>
          <w:sz w:val="24"/>
          <w:szCs w:val="24"/>
        </w:rPr>
        <w:t xml:space="preserve">Waivers of this category must be published for seven (7) days and public comment received and addressed before implementation. </w:t>
      </w:r>
    </w:p>
    <w:p w14:paraId="2ADF627C" w14:textId="3561750E" w:rsidR="00196AE1" w:rsidRPr="00196AE1" w:rsidRDefault="00196AE1" w:rsidP="000307CA">
      <w:pPr>
        <w:pStyle w:val="Heading2"/>
        <w:spacing w:before="0" w:line="240" w:lineRule="auto"/>
        <w:rPr>
          <w:color w:val="5B9BD5" w:themeColor="accent5"/>
        </w:rPr>
      </w:pPr>
      <w:bookmarkStart w:id="133" w:name="_Toc5020440"/>
      <w:bookmarkStart w:id="134" w:name="_Toc8137211"/>
      <w:bookmarkStart w:id="135" w:name="_Toc22629017"/>
      <w:r w:rsidRPr="00196AE1">
        <w:rPr>
          <w:color w:val="5B9BD5" w:themeColor="accent5"/>
        </w:rPr>
        <w:t>Emergency Waiver Request</w:t>
      </w:r>
      <w:bookmarkEnd w:id="133"/>
      <w:bookmarkEnd w:id="134"/>
      <w:bookmarkEnd w:id="135"/>
      <w:r w:rsidRPr="00196AE1">
        <w:rPr>
          <w:color w:val="5B9BD5" w:themeColor="accent5"/>
        </w:rPr>
        <w:t xml:space="preserve"> </w:t>
      </w:r>
    </w:p>
    <w:p w14:paraId="56D1F28E" w14:textId="2381217E" w:rsidR="00196AE1" w:rsidRDefault="00196AE1" w:rsidP="000307CA">
      <w:pPr>
        <w:spacing w:after="0" w:line="240" w:lineRule="auto"/>
        <w:rPr>
          <w:rFonts w:ascii="Calibri" w:hAnsi="Calibri"/>
          <w:sz w:val="24"/>
          <w:szCs w:val="24"/>
        </w:rPr>
      </w:pPr>
      <w:r w:rsidRPr="00C33D6E">
        <w:rPr>
          <w:rFonts w:ascii="Calibri" w:hAnsi="Calibri"/>
          <w:sz w:val="24"/>
          <w:szCs w:val="24"/>
        </w:rPr>
        <w:t xml:space="preserve">An Emergency Program Waiver Request is a requested change to the Guidelines for administrative, eligibility, national objective, expenditure deadline, or overall benefit requirements that must be implemented as soon as possible, for example, to resolve or prevent a compliance issue. An Emergency Waiver Request must be submitted to GLO immediately and a response should be received from GLO within five (5) business days. </w:t>
      </w:r>
    </w:p>
    <w:p w14:paraId="2BEE9A31" w14:textId="77777777" w:rsidR="00C33D6E" w:rsidRPr="00C33D6E" w:rsidRDefault="00C33D6E" w:rsidP="000307CA">
      <w:pPr>
        <w:spacing w:after="0" w:line="240" w:lineRule="auto"/>
        <w:rPr>
          <w:rFonts w:ascii="Calibri" w:hAnsi="Calibri"/>
          <w:sz w:val="24"/>
          <w:szCs w:val="24"/>
        </w:rPr>
      </w:pPr>
    </w:p>
    <w:p w14:paraId="4F5324AD" w14:textId="7B9E2536" w:rsidR="00196AE1" w:rsidRDefault="00196AE1" w:rsidP="000307CA">
      <w:pPr>
        <w:spacing w:after="0" w:line="240" w:lineRule="auto"/>
        <w:rPr>
          <w:rFonts w:ascii="Calibri" w:hAnsi="Calibri"/>
          <w:sz w:val="24"/>
          <w:szCs w:val="24"/>
        </w:rPr>
      </w:pPr>
      <w:r w:rsidRPr="00C33D6E">
        <w:rPr>
          <w:rFonts w:ascii="Calibri" w:hAnsi="Calibri"/>
          <w:sz w:val="24"/>
          <w:szCs w:val="24"/>
        </w:rPr>
        <w:t xml:space="preserve">In the case of requests that must be routed to HUD for approval, it is expected that GLO and the City of Houston will request an expedient response. If the request will not be approved prior to the anticipated or necessary implementation timeline, GLO must notify the City of Houston via official letter of the necessary escalation to HUD and anticipated timing. </w:t>
      </w:r>
    </w:p>
    <w:p w14:paraId="7D067988" w14:textId="77777777" w:rsidR="00C33D6E" w:rsidRPr="00C33D6E" w:rsidRDefault="00C33D6E" w:rsidP="000307CA">
      <w:pPr>
        <w:spacing w:after="0" w:line="240" w:lineRule="auto"/>
        <w:rPr>
          <w:rFonts w:ascii="Calibri" w:hAnsi="Calibri"/>
          <w:sz w:val="24"/>
          <w:szCs w:val="24"/>
        </w:rPr>
      </w:pPr>
    </w:p>
    <w:p w14:paraId="43B2DAB0" w14:textId="1B446E65"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Additional requirements may be requested as required for submission depending on waiver type and category.</w:t>
      </w:r>
    </w:p>
    <w:p w14:paraId="2B4BE8CB" w14:textId="77777777" w:rsidR="005B7A25" w:rsidRPr="00196AE1" w:rsidRDefault="005B7A25" w:rsidP="000307CA">
      <w:pPr>
        <w:spacing w:after="0" w:line="240" w:lineRule="auto"/>
        <w:rPr>
          <w:rStyle w:val="IntenseReference"/>
          <w:rFonts w:ascii="Calibri" w:hAnsi="Calibri" w:cs="Calibri"/>
          <w:b w:val="0"/>
          <w:bCs w:val="0"/>
          <w:smallCaps w:val="0"/>
          <w:sz w:val="24"/>
          <w:szCs w:val="24"/>
        </w:rPr>
      </w:pPr>
    </w:p>
    <w:p w14:paraId="3F7C639C" w14:textId="6AE6D83C" w:rsidR="00196AE1" w:rsidRPr="00482B47" w:rsidRDefault="00196AE1" w:rsidP="000307CA">
      <w:pPr>
        <w:pStyle w:val="Title"/>
        <w:spacing w:after="0"/>
        <w:outlineLvl w:val="0"/>
        <w:rPr>
          <w:rStyle w:val="IntenseReference"/>
          <w:rFonts w:ascii="Calibri" w:hAnsi="Calibri" w:cs="Calibri"/>
          <w:b w:val="0"/>
          <w:bCs w:val="0"/>
          <w:color w:val="0070C0"/>
          <w:sz w:val="36"/>
          <w:szCs w:val="36"/>
        </w:rPr>
      </w:pPr>
      <w:bookmarkStart w:id="136" w:name="_Toc5020441"/>
      <w:bookmarkStart w:id="137" w:name="_Toc8137212"/>
      <w:bookmarkStart w:id="138" w:name="_Toc22629018"/>
      <w:r w:rsidRPr="005B7A25">
        <w:rPr>
          <w:rStyle w:val="IntenseReference"/>
          <w:rFonts w:ascii="Calibri" w:hAnsi="Calibri" w:cs="Calibri"/>
          <w:b w:val="0"/>
          <w:bCs w:val="0"/>
          <w:color w:val="0070C0"/>
          <w:sz w:val="36"/>
          <w:szCs w:val="36"/>
        </w:rPr>
        <w:t>Guideline Updates/Public Comments</w:t>
      </w:r>
      <w:bookmarkEnd w:id="136"/>
      <w:bookmarkEnd w:id="137"/>
      <w:bookmarkEnd w:id="138"/>
    </w:p>
    <w:p w14:paraId="21552FD3" w14:textId="7A080EB9" w:rsidR="004B1664" w:rsidRPr="009D2B46" w:rsidRDefault="00196AE1" w:rsidP="000307CA">
      <w:pPr>
        <w:pStyle w:val="BodyText"/>
        <w:rPr>
          <w:rStyle w:val="IntenseReference"/>
          <w:rFonts w:ascii="Calibri" w:hAnsi="Calibri"/>
          <w:b w:val="0"/>
          <w:bCs w:val="0"/>
          <w:smallCaps w:val="0"/>
        </w:rPr>
      </w:pPr>
      <w:r w:rsidRPr="00C97D84">
        <w:rPr>
          <w:rFonts w:ascii="Calibri" w:hAnsi="Calibri"/>
        </w:rPr>
        <w:t>HCDD will publish all Program Guidelines on the City’s website [www.recovery.houstontx.gov]: All guidelines will initially be published for a 30-day public comment period. Any subsequent changes to the Guidelines after approval by the Texas General Land Office will be posted for a minimum of seven days for public comment and the latest versions available on the City’s website.</w:t>
      </w:r>
    </w:p>
    <w:p w14:paraId="2BA5DE76" w14:textId="77777777" w:rsidR="004B1664" w:rsidRPr="00AB1915" w:rsidRDefault="004B1664" w:rsidP="000307CA">
      <w:pPr>
        <w:pStyle w:val="BodyText"/>
        <w:rPr>
          <w:rStyle w:val="IntenseReference"/>
          <w:b w:val="0"/>
          <w:bCs w:val="0"/>
          <w:smallCaps w:val="0"/>
        </w:rPr>
      </w:pPr>
    </w:p>
    <w:p w14:paraId="62950109" w14:textId="64DCDE6A" w:rsidR="00196AE1" w:rsidRPr="00271652" w:rsidRDefault="00196AE1" w:rsidP="000307CA">
      <w:pPr>
        <w:pStyle w:val="Title"/>
        <w:spacing w:after="0"/>
        <w:outlineLvl w:val="0"/>
        <w:rPr>
          <w:rStyle w:val="IntenseReference"/>
          <w:rFonts w:ascii="Calibri" w:hAnsi="Calibri" w:cs="Calibri"/>
          <w:b w:val="0"/>
          <w:bCs w:val="0"/>
          <w:color w:val="0070C0"/>
          <w:sz w:val="36"/>
          <w:szCs w:val="36"/>
        </w:rPr>
      </w:pPr>
      <w:bookmarkStart w:id="139" w:name="_Toc5020442"/>
      <w:bookmarkStart w:id="140" w:name="_Toc8137213"/>
      <w:bookmarkStart w:id="141" w:name="_Toc22629019"/>
      <w:r w:rsidRPr="005B7A25">
        <w:rPr>
          <w:rStyle w:val="IntenseReference"/>
          <w:rFonts w:ascii="Calibri" w:hAnsi="Calibri" w:cs="Calibri"/>
          <w:b w:val="0"/>
          <w:bCs w:val="0"/>
          <w:color w:val="0070C0"/>
          <w:sz w:val="36"/>
          <w:szCs w:val="36"/>
        </w:rPr>
        <w:t>Complaints</w:t>
      </w:r>
      <w:bookmarkEnd w:id="139"/>
      <w:bookmarkEnd w:id="140"/>
      <w:bookmarkEnd w:id="141"/>
    </w:p>
    <w:p w14:paraId="69FE4D36" w14:textId="57370667" w:rsidR="006B0B3E" w:rsidRDefault="00196AE1" w:rsidP="000307CA">
      <w:pPr>
        <w:spacing w:after="0" w:line="240" w:lineRule="auto"/>
        <w:rPr>
          <w:rFonts w:asciiTheme="minorHAnsi" w:hAnsiTheme="minorHAnsi"/>
        </w:rPr>
      </w:pPr>
      <w:r w:rsidRPr="00C33D6E">
        <w:rPr>
          <w:rFonts w:ascii="Calibri" w:hAnsi="Calibri"/>
          <w:sz w:val="24"/>
        </w:rPr>
        <w:t xml:space="preserve">The City of Houston Housing and Community Development Department (HCDD) welcomes feedback and complaints from any member of the public. Complaints are accepted in writing or over the telephone. Complaints will be responded to in writing within fifteen (15) business days, as practicable. For further information, please refer to the HCDD recovery website, </w:t>
      </w:r>
      <w:hyperlink r:id="rId21" w:history="1">
        <w:r w:rsidRPr="00C33D6E">
          <w:rPr>
            <w:rStyle w:val="Hyperlink"/>
            <w:rFonts w:ascii="Calibri" w:hAnsi="Calibri"/>
            <w:sz w:val="24"/>
          </w:rPr>
          <w:t>https://</w:t>
        </w:r>
        <w:r w:rsidR="00117D64">
          <w:rPr>
            <w:rStyle w:val="Hyperlink"/>
            <w:rFonts w:ascii="Calibri" w:hAnsi="Calibri"/>
            <w:sz w:val="24"/>
          </w:rPr>
          <w:t>www.houstontx.gov/housing/2016_Flood_Events_Recovery.html</w:t>
        </w:r>
      </w:hyperlink>
    </w:p>
    <w:p w14:paraId="700932B2" w14:textId="77777777" w:rsidR="00524B3D" w:rsidRDefault="00524B3D" w:rsidP="000307CA">
      <w:pPr>
        <w:spacing w:after="0" w:line="240" w:lineRule="auto"/>
        <w:rPr>
          <w:rFonts w:asciiTheme="minorHAnsi" w:hAnsiTheme="minorHAnsi"/>
        </w:rPr>
      </w:pPr>
    </w:p>
    <w:p w14:paraId="7769636E" w14:textId="6CD84CAE" w:rsidR="00196AE1" w:rsidRPr="005B7A25" w:rsidRDefault="00196AE1" w:rsidP="000307CA">
      <w:pPr>
        <w:pStyle w:val="Heading2"/>
        <w:spacing w:before="0" w:line="240" w:lineRule="auto"/>
        <w:rPr>
          <w:color w:val="5B9BD5" w:themeColor="accent5"/>
        </w:rPr>
      </w:pPr>
      <w:bookmarkStart w:id="142" w:name="_Toc5020443"/>
      <w:bookmarkStart w:id="143" w:name="_Toc8137214"/>
      <w:bookmarkStart w:id="144" w:name="_Toc22629020"/>
      <w:r w:rsidRPr="005B7A25">
        <w:rPr>
          <w:color w:val="5B9BD5" w:themeColor="accent5"/>
        </w:rPr>
        <w:t>Contact Information</w:t>
      </w:r>
      <w:bookmarkEnd w:id="142"/>
      <w:bookmarkEnd w:id="143"/>
      <w:bookmarkEnd w:id="144"/>
    </w:p>
    <w:p w14:paraId="413ACD1D" w14:textId="2ACECD11" w:rsidR="00196AE1" w:rsidRPr="00C33D6E" w:rsidRDefault="007562E9" w:rsidP="000307CA">
      <w:pPr>
        <w:spacing w:after="0" w:line="240" w:lineRule="auto"/>
        <w:rPr>
          <w:rFonts w:ascii="Calibri" w:hAnsi="Calibri"/>
          <w:b/>
          <w:sz w:val="24"/>
        </w:rPr>
      </w:pPr>
      <w:r>
        <w:rPr>
          <w:rFonts w:ascii="Calibri" w:hAnsi="Calibri"/>
          <w:b/>
          <w:sz w:val="24"/>
        </w:rPr>
        <w:t>HCDD Mailing Address</w:t>
      </w:r>
    </w:p>
    <w:p w14:paraId="07DB9C9E" w14:textId="77777777" w:rsidR="00196AE1" w:rsidRPr="00C33D6E" w:rsidRDefault="00196AE1" w:rsidP="000307CA">
      <w:pPr>
        <w:spacing w:after="0" w:line="240" w:lineRule="auto"/>
        <w:rPr>
          <w:rFonts w:ascii="Calibri" w:hAnsi="Calibri"/>
          <w:sz w:val="24"/>
        </w:rPr>
      </w:pPr>
      <w:r w:rsidRPr="00C33D6E">
        <w:rPr>
          <w:rFonts w:ascii="Calibri" w:hAnsi="Calibri"/>
          <w:sz w:val="24"/>
        </w:rPr>
        <w:t>Housing and Community Development Department</w:t>
      </w:r>
    </w:p>
    <w:p w14:paraId="0F140D07" w14:textId="77777777" w:rsidR="00196AE1" w:rsidRPr="00C33D6E" w:rsidRDefault="00196AE1" w:rsidP="000307CA">
      <w:pPr>
        <w:spacing w:after="0" w:line="240" w:lineRule="auto"/>
        <w:rPr>
          <w:rFonts w:ascii="Calibri" w:hAnsi="Calibri"/>
          <w:sz w:val="24"/>
        </w:rPr>
      </w:pPr>
      <w:r w:rsidRPr="00C33D6E">
        <w:rPr>
          <w:rFonts w:ascii="Calibri" w:hAnsi="Calibri"/>
          <w:sz w:val="24"/>
        </w:rPr>
        <w:t>2100 Travis St., 9</w:t>
      </w:r>
      <w:r w:rsidRPr="00C33D6E">
        <w:rPr>
          <w:rFonts w:ascii="Calibri" w:hAnsi="Calibri"/>
          <w:sz w:val="24"/>
          <w:vertAlign w:val="superscript"/>
        </w:rPr>
        <w:t>th</w:t>
      </w:r>
      <w:r w:rsidRPr="00C33D6E">
        <w:rPr>
          <w:rFonts w:ascii="Calibri" w:hAnsi="Calibri"/>
          <w:sz w:val="24"/>
        </w:rPr>
        <w:t xml:space="preserve"> Floor</w:t>
      </w:r>
    </w:p>
    <w:p w14:paraId="0F447ECB" w14:textId="77777777" w:rsidR="00196AE1" w:rsidRPr="00C33D6E" w:rsidRDefault="00196AE1" w:rsidP="000307CA">
      <w:pPr>
        <w:spacing w:after="0" w:line="240" w:lineRule="auto"/>
        <w:rPr>
          <w:rFonts w:ascii="Calibri" w:hAnsi="Calibri"/>
          <w:sz w:val="24"/>
        </w:rPr>
      </w:pPr>
      <w:r w:rsidRPr="00C33D6E">
        <w:rPr>
          <w:rFonts w:ascii="Calibri" w:hAnsi="Calibri"/>
          <w:sz w:val="24"/>
        </w:rPr>
        <w:t>Houston, TX 77002</w:t>
      </w:r>
    </w:p>
    <w:p w14:paraId="51C0DC88" w14:textId="7291A520" w:rsidR="00196AE1" w:rsidRPr="00C33D6E" w:rsidRDefault="00196AE1" w:rsidP="000307CA">
      <w:pPr>
        <w:spacing w:after="0" w:line="240" w:lineRule="auto"/>
        <w:rPr>
          <w:rFonts w:ascii="Calibri" w:hAnsi="Calibri"/>
          <w:sz w:val="24"/>
        </w:rPr>
      </w:pPr>
      <w:r w:rsidRPr="00C33D6E">
        <w:rPr>
          <w:rFonts w:ascii="Calibri" w:hAnsi="Calibri"/>
          <w:sz w:val="24"/>
        </w:rPr>
        <w:t>Attn: Planning &amp; Grants Management</w:t>
      </w:r>
    </w:p>
    <w:p w14:paraId="5878A1A1" w14:textId="77777777" w:rsidR="005B7A25" w:rsidRDefault="005B7A25" w:rsidP="000307CA">
      <w:pPr>
        <w:spacing w:after="0" w:line="240" w:lineRule="auto"/>
        <w:rPr>
          <w:rFonts w:asciiTheme="minorHAnsi" w:hAnsiTheme="minorHAnsi"/>
        </w:rPr>
      </w:pPr>
    </w:p>
    <w:p w14:paraId="6ED91C61" w14:textId="77777777" w:rsidR="00196AE1" w:rsidRPr="00C33D6E" w:rsidRDefault="00196AE1" w:rsidP="000307CA">
      <w:pPr>
        <w:spacing w:after="0" w:line="240" w:lineRule="auto"/>
        <w:rPr>
          <w:rFonts w:ascii="Calibri" w:hAnsi="Calibri"/>
          <w:b/>
          <w:sz w:val="24"/>
        </w:rPr>
      </w:pPr>
      <w:r w:rsidRPr="00C33D6E">
        <w:rPr>
          <w:rFonts w:ascii="Calibri" w:hAnsi="Calibri"/>
          <w:b/>
          <w:sz w:val="24"/>
        </w:rPr>
        <w:t>HCDD Email Address</w:t>
      </w:r>
    </w:p>
    <w:p w14:paraId="1A22A050" w14:textId="26DD71A2" w:rsidR="00196AE1" w:rsidRPr="00C33D6E" w:rsidRDefault="00FD76D6" w:rsidP="000307CA">
      <w:pPr>
        <w:spacing w:after="0" w:line="240" w:lineRule="auto"/>
        <w:rPr>
          <w:rFonts w:ascii="Calibri" w:hAnsi="Calibri"/>
          <w:sz w:val="24"/>
        </w:rPr>
      </w:pPr>
      <w:hyperlink r:id="rId22" w:history="1">
        <w:r w:rsidR="00196AE1" w:rsidRPr="00C33D6E">
          <w:rPr>
            <w:rStyle w:val="Hyperlink"/>
            <w:rFonts w:ascii="Calibri" w:hAnsi="Calibri"/>
            <w:sz w:val="24"/>
          </w:rPr>
          <w:t>HCDDComplaintsAppeals@houstontx.gov</w:t>
        </w:r>
      </w:hyperlink>
      <w:r w:rsidR="00196AE1" w:rsidRPr="00C33D6E">
        <w:rPr>
          <w:rFonts w:ascii="Calibri" w:hAnsi="Calibri"/>
          <w:sz w:val="24"/>
        </w:rPr>
        <w:t xml:space="preserve"> </w:t>
      </w:r>
    </w:p>
    <w:p w14:paraId="185D2D05" w14:textId="77777777" w:rsidR="005B7A25" w:rsidRDefault="005B7A25" w:rsidP="000307CA">
      <w:pPr>
        <w:spacing w:after="0" w:line="240" w:lineRule="auto"/>
        <w:rPr>
          <w:rFonts w:asciiTheme="minorHAnsi" w:hAnsiTheme="minorHAnsi"/>
        </w:rPr>
      </w:pPr>
    </w:p>
    <w:p w14:paraId="3D6CE645" w14:textId="77777777" w:rsidR="00196AE1" w:rsidRPr="00C33D6E" w:rsidRDefault="00196AE1" w:rsidP="000307CA">
      <w:pPr>
        <w:spacing w:after="0" w:line="240" w:lineRule="auto"/>
        <w:rPr>
          <w:rFonts w:ascii="Calibri" w:hAnsi="Calibri"/>
          <w:b/>
          <w:sz w:val="24"/>
        </w:rPr>
      </w:pPr>
      <w:r w:rsidRPr="00C33D6E">
        <w:rPr>
          <w:rFonts w:ascii="Calibri" w:hAnsi="Calibri"/>
          <w:b/>
          <w:sz w:val="24"/>
        </w:rPr>
        <w:lastRenderedPageBreak/>
        <w:t>Telephone</w:t>
      </w:r>
    </w:p>
    <w:p w14:paraId="15CAAA4E" w14:textId="77777777" w:rsidR="00196AE1" w:rsidRPr="00C33D6E" w:rsidRDefault="00196AE1" w:rsidP="000307CA">
      <w:pPr>
        <w:spacing w:after="0" w:line="240" w:lineRule="auto"/>
        <w:rPr>
          <w:rFonts w:ascii="Calibri" w:hAnsi="Calibri"/>
          <w:sz w:val="24"/>
        </w:rPr>
      </w:pPr>
      <w:r w:rsidRPr="00C33D6E">
        <w:rPr>
          <w:rFonts w:ascii="Calibri" w:hAnsi="Calibri"/>
          <w:sz w:val="24"/>
        </w:rPr>
        <w:t>(832)394-6200</w:t>
      </w:r>
    </w:p>
    <w:p w14:paraId="258FD6FB" w14:textId="36A077CC" w:rsidR="005B7A25" w:rsidRPr="00C33D6E" w:rsidRDefault="00196AE1" w:rsidP="000307CA">
      <w:pPr>
        <w:spacing w:after="0" w:line="240" w:lineRule="auto"/>
        <w:rPr>
          <w:rFonts w:ascii="Calibri" w:hAnsi="Calibri"/>
          <w:b/>
          <w:sz w:val="24"/>
        </w:rPr>
      </w:pPr>
      <w:r w:rsidRPr="00C33D6E">
        <w:rPr>
          <w:rFonts w:ascii="Calibri" w:hAnsi="Calibri"/>
          <w:b/>
          <w:sz w:val="24"/>
        </w:rPr>
        <w:t>HCDD Business Hours</w:t>
      </w:r>
    </w:p>
    <w:p w14:paraId="2269F91A" w14:textId="77777777" w:rsidR="00196AE1" w:rsidRPr="00C33D6E" w:rsidRDefault="00196AE1" w:rsidP="000307CA">
      <w:pPr>
        <w:spacing w:after="0" w:line="240" w:lineRule="auto"/>
        <w:rPr>
          <w:rFonts w:ascii="Calibri" w:hAnsi="Calibri"/>
          <w:sz w:val="24"/>
        </w:rPr>
      </w:pPr>
      <w:r w:rsidRPr="00C33D6E">
        <w:rPr>
          <w:rFonts w:ascii="Calibri" w:hAnsi="Calibri"/>
          <w:sz w:val="24"/>
        </w:rPr>
        <w:t>Monday through Friday</w:t>
      </w:r>
    </w:p>
    <w:p w14:paraId="56860E5F" w14:textId="1A371196" w:rsidR="00196AE1" w:rsidRPr="00C33D6E" w:rsidRDefault="00196AE1" w:rsidP="000307CA">
      <w:pPr>
        <w:spacing w:after="0" w:line="240" w:lineRule="auto"/>
        <w:rPr>
          <w:rFonts w:ascii="Calibri" w:hAnsi="Calibri"/>
          <w:sz w:val="24"/>
        </w:rPr>
      </w:pPr>
      <w:r w:rsidRPr="00C33D6E">
        <w:rPr>
          <w:rFonts w:ascii="Calibri" w:hAnsi="Calibri"/>
          <w:sz w:val="24"/>
        </w:rPr>
        <w:t xml:space="preserve">8:00 AM to 5:00 PM </w:t>
      </w:r>
    </w:p>
    <w:p w14:paraId="4DAA5606" w14:textId="77777777" w:rsidR="005B7A25" w:rsidRDefault="005B7A25" w:rsidP="000307CA">
      <w:pPr>
        <w:spacing w:after="0" w:line="240" w:lineRule="auto"/>
        <w:rPr>
          <w:rFonts w:asciiTheme="minorHAnsi" w:hAnsiTheme="minorHAnsi"/>
        </w:rPr>
      </w:pPr>
    </w:p>
    <w:p w14:paraId="6FE227A1" w14:textId="76C05FB7" w:rsidR="00196AE1" w:rsidRPr="00AB1915" w:rsidRDefault="00196AE1" w:rsidP="000307CA">
      <w:pPr>
        <w:pStyle w:val="Title"/>
        <w:spacing w:after="0"/>
        <w:outlineLvl w:val="0"/>
        <w:rPr>
          <w:rStyle w:val="IntenseReference"/>
          <w:rFonts w:ascii="Calibri" w:hAnsi="Calibri" w:cs="Calibri"/>
          <w:b w:val="0"/>
          <w:bCs w:val="0"/>
          <w:color w:val="0070C0"/>
          <w:sz w:val="36"/>
          <w:szCs w:val="36"/>
        </w:rPr>
      </w:pPr>
      <w:bookmarkStart w:id="145" w:name="_Toc5020444"/>
      <w:bookmarkStart w:id="146" w:name="_Toc8137215"/>
      <w:bookmarkStart w:id="147" w:name="_Toc22629021"/>
      <w:r w:rsidRPr="005B7A25">
        <w:rPr>
          <w:rStyle w:val="IntenseReference"/>
          <w:rFonts w:ascii="Calibri" w:hAnsi="Calibri" w:cs="Calibri"/>
          <w:b w:val="0"/>
          <w:bCs w:val="0"/>
          <w:color w:val="0070C0"/>
          <w:sz w:val="36"/>
          <w:szCs w:val="36"/>
        </w:rPr>
        <w:t>Appeals</w:t>
      </w:r>
      <w:bookmarkEnd w:id="145"/>
      <w:bookmarkEnd w:id="146"/>
      <w:bookmarkEnd w:id="147"/>
    </w:p>
    <w:p w14:paraId="52173284" w14:textId="1AB2F64E" w:rsidR="00196AE1" w:rsidRPr="00C33D6E" w:rsidRDefault="00196AE1" w:rsidP="000307CA">
      <w:pPr>
        <w:spacing w:after="0" w:line="240" w:lineRule="auto"/>
        <w:rPr>
          <w:rFonts w:ascii="Calibri" w:hAnsi="Calibri"/>
          <w:bCs/>
          <w:sz w:val="24"/>
        </w:rPr>
      </w:pPr>
      <w:r w:rsidRPr="00C33D6E">
        <w:rPr>
          <w:rFonts w:ascii="Calibri" w:hAnsi="Calibri"/>
          <w:bCs/>
          <w:sz w:val="24"/>
        </w:rPr>
        <w:t>HCDD’s appeal process will be provided in writing to any appellant upon request or receipt of an appeal, and the same process will be clearly posted on the City’s websites, including disaster recovery websites and entitlement program websites. HCDD will keep a record of each appeal that it receives and include all communications and their resolutions therein.</w:t>
      </w:r>
    </w:p>
    <w:p w14:paraId="5E9FC4CF" w14:textId="77777777" w:rsidR="005B7A25" w:rsidRPr="00C33D6E" w:rsidRDefault="005B7A25" w:rsidP="000307CA">
      <w:pPr>
        <w:spacing w:after="0" w:line="240" w:lineRule="auto"/>
        <w:rPr>
          <w:rFonts w:ascii="Calibri" w:hAnsi="Calibri"/>
          <w:bCs/>
          <w:sz w:val="24"/>
        </w:rPr>
      </w:pPr>
    </w:p>
    <w:p w14:paraId="5EF9C280" w14:textId="77777777" w:rsidR="00196AE1" w:rsidRPr="00C33D6E" w:rsidRDefault="00196AE1" w:rsidP="000307CA">
      <w:pPr>
        <w:spacing w:after="0" w:line="240" w:lineRule="auto"/>
        <w:rPr>
          <w:rFonts w:ascii="Calibri" w:hAnsi="Calibri"/>
          <w:sz w:val="24"/>
        </w:rPr>
      </w:pPr>
      <w:r w:rsidRPr="00C33D6E">
        <w:rPr>
          <w:rFonts w:ascii="Calibri" w:hAnsi="Calibri"/>
          <w:sz w:val="24"/>
        </w:rPr>
        <w:t>Applicants have the right to appeal decisions made on their program file based on the following:</w:t>
      </w:r>
    </w:p>
    <w:p w14:paraId="6CC423D1" w14:textId="77777777" w:rsidR="00196AE1" w:rsidRPr="00C33D6E" w:rsidRDefault="00196AE1" w:rsidP="00E14863">
      <w:pPr>
        <w:numPr>
          <w:ilvl w:val="3"/>
          <w:numId w:val="19"/>
        </w:numPr>
        <w:spacing w:after="0" w:line="240" w:lineRule="auto"/>
        <w:ind w:left="720"/>
        <w:rPr>
          <w:rFonts w:ascii="Calibri" w:hAnsi="Calibri"/>
          <w:bCs/>
          <w:sz w:val="24"/>
        </w:rPr>
      </w:pPr>
      <w:r w:rsidRPr="00C33D6E">
        <w:rPr>
          <w:rFonts w:ascii="Calibri" w:hAnsi="Calibri"/>
          <w:bCs/>
          <w:sz w:val="24"/>
        </w:rPr>
        <w:t>Denied services through any of HCDD’s programs</w:t>
      </w:r>
    </w:p>
    <w:p w14:paraId="3B9EF56C" w14:textId="77777777" w:rsidR="00196AE1" w:rsidRPr="00C33D6E" w:rsidRDefault="00196AE1" w:rsidP="00E14863">
      <w:pPr>
        <w:numPr>
          <w:ilvl w:val="3"/>
          <w:numId w:val="19"/>
        </w:numPr>
        <w:spacing w:after="0" w:line="240" w:lineRule="auto"/>
        <w:ind w:left="720"/>
        <w:rPr>
          <w:rFonts w:ascii="Calibri" w:hAnsi="Calibri"/>
          <w:bCs/>
          <w:sz w:val="24"/>
        </w:rPr>
      </w:pPr>
      <w:r w:rsidRPr="00C33D6E">
        <w:rPr>
          <w:rFonts w:ascii="Calibri" w:hAnsi="Calibri"/>
          <w:bCs/>
          <w:sz w:val="24"/>
        </w:rPr>
        <w:t>Denial of a request for resolution for tax credits</w:t>
      </w:r>
    </w:p>
    <w:p w14:paraId="5C3A0AAC" w14:textId="77777777" w:rsidR="00196AE1" w:rsidRPr="00C33D6E" w:rsidRDefault="00196AE1" w:rsidP="00E14863">
      <w:pPr>
        <w:numPr>
          <w:ilvl w:val="3"/>
          <w:numId w:val="19"/>
        </w:numPr>
        <w:spacing w:after="0" w:line="240" w:lineRule="auto"/>
        <w:ind w:left="720"/>
        <w:rPr>
          <w:rFonts w:ascii="Calibri" w:hAnsi="Calibri"/>
          <w:bCs/>
          <w:sz w:val="24"/>
        </w:rPr>
      </w:pPr>
      <w:r w:rsidRPr="00C33D6E">
        <w:rPr>
          <w:rFonts w:ascii="Calibri" w:hAnsi="Calibri"/>
          <w:bCs/>
          <w:sz w:val="24"/>
        </w:rPr>
        <w:t>Program eligibility determination</w:t>
      </w:r>
    </w:p>
    <w:p w14:paraId="39B84B8A" w14:textId="77777777" w:rsidR="00196AE1" w:rsidRPr="00C33D6E" w:rsidRDefault="00196AE1" w:rsidP="00E14863">
      <w:pPr>
        <w:numPr>
          <w:ilvl w:val="3"/>
          <w:numId w:val="19"/>
        </w:numPr>
        <w:spacing w:after="0" w:line="240" w:lineRule="auto"/>
        <w:ind w:left="720"/>
        <w:rPr>
          <w:rFonts w:ascii="Calibri" w:hAnsi="Calibri"/>
          <w:bCs/>
          <w:sz w:val="24"/>
          <w:szCs w:val="24"/>
        </w:rPr>
      </w:pPr>
      <w:r w:rsidRPr="00C33D6E">
        <w:rPr>
          <w:rFonts w:ascii="Calibri" w:hAnsi="Calibri"/>
          <w:bCs/>
          <w:sz w:val="24"/>
          <w:szCs w:val="24"/>
        </w:rPr>
        <w:t>Program award calculation</w:t>
      </w:r>
    </w:p>
    <w:p w14:paraId="4739C798" w14:textId="77777777" w:rsidR="00196AE1" w:rsidRPr="00C33D6E" w:rsidRDefault="00196AE1" w:rsidP="00E14863">
      <w:pPr>
        <w:numPr>
          <w:ilvl w:val="3"/>
          <w:numId w:val="19"/>
        </w:numPr>
        <w:spacing w:after="0" w:line="240" w:lineRule="auto"/>
        <w:ind w:left="720"/>
        <w:rPr>
          <w:rFonts w:ascii="Calibri" w:hAnsi="Calibri"/>
          <w:bCs/>
          <w:sz w:val="24"/>
          <w:szCs w:val="24"/>
        </w:rPr>
      </w:pPr>
      <w:r w:rsidRPr="00C33D6E">
        <w:rPr>
          <w:rFonts w:ascii="Calibri" w:hAnsi="Calibri"/>
          <w:bCs/>
          <w:sz w:val="24"/>
          <w:szCs w:val="24"/>
        </w:rPr>
        <w:t>Procedural error where the application was not processed by program staff in accordance with the program guidelines</w:t>
      </w:r>
    </w:p>
    <w:p w14:paraId="0EAAE82A" w14:textId="01130CC7" w:rsidR="00196AE1" w:rsidRPr="00C33D6E" w:rsidRDefault="00196AE1" w:rsidP="00E14863">
      <w:pPr>
        <w:numPr>
          <w:ilvl w:val="3"/>
          <w:numId w:val="19"/>
        </w:numPr>
        <w:spacing w:after="0" w:line="240" w:lineRule="auto"/>
        <w:ind w:left="720"/>
        <w:rPr>
          <w:rFonts w:ascii="Calibri" w:hAnsi="Calibri"/>
          <w:bCs/>
          <w:sz w:val="24"/>
          <w:szCs w:val="24"/>
        </w:rPr>
      </w:pPr>
      <w:r w:rsidRPr="00C33D6E">
        <w:rPr>
          <w:rFonts w:ascii="Calibri" w:hAnsi="Calibri"/>
          <w:bCs/>
          <w:sz w:val="24"/>
          <w:szCs w:val="24"/>
        </w:rPr>
        <w:t xml:space="preserve">Affirmatively Furthering Fair Housing </w:t>
      </w:r>
    </w:p>
    <w:p w14:paraId="52DDE045" w14:textId="77777777" w:rsidR="005B7A25" w:rsidRPr="00C33D6E" w:rsidRDefault="005B7A25" w:rsidP="000307CA">
      <w:pPr>
        <w:spacing w:after="0" w:line="240" w:lineRule="auto"/>
        <w:ind w:left="720"/>
        <w:rPr>
          <w:rFonts w:ascii="Calibri" w:hAnsi="Calibri"/>
          <w:bCs/>
          <w:sz w:val="24"/>
          <w:szCs w:val="24"/>
        </w:rPr>
      </w:pPr>
    </w:p>
    <w:p w14:paraId="4D9953D8"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Appeals must be made in writing, and may either be in letter form, through HCDD’s website, or on HCDD’s Appeal Request Form (available on HCDD’s website or at the HCDD office). Written appeals will be accepted either by mail or in-person at the HCDD office. To be considered complete, an appeal must contain the following information:</w:t>
      </w:r>
    </w:p>
    <w:p w14:paraId="0E327557" w14:textId="77777777" w:rsidR="00196AE1" w:rsidRPr="00C33D6E" w:rsidRDefault="00196AE1" w:rsidP="00E14863">
      <w:pPr>
        <w:pStyle w:val="ListParagraph"/>
        <w:numPr>
          <w:ilvl w:val="0"/>
          <w:numId w:val="20"/>
        </w:numPr>
        <w:spacing w:after="0" w:line="240" w:lineRule="auto"/>
        <w:rPr>
          <w:rFonts w:ascii="Calibri" w:hAnsi="Calibri"/>
          <w:sz w:val="24"/>
          <w:szCs w:val="24"/>
        </w:rPr>
      </w:pPr>
      <w:r w:rsidRPr="00C33D6E">
        <w:rPr>
          <w:rFonts w:ascii="Calibri" w:hAnsi="Calibri"/>
          <w:sz w:val="24"/>
          <w:szCs w:val="24"/>
        </w:rPr>
        <w:t>Name</w:t>
      </w:r>
    </w:p>
    <w:p w14:paraId="40CC4559" w14:textId="77777777" w:rsidR="00196AE1" w:rsidRPr="00C33D6E" w:rsidRDefault="00196AE1" w:rsidP="00E14863">
      <w:pPr>
        <w:pStyle w:val="ListParagraph"/>
        <w:numPr>
          <w:ilvl w:val="0"/>
          <w:numId w:val="20"/>
        </w:numPr>
        <w:spacing w:after="0" w:line="240" w:lineRule="auto"/>
        <w:rPr>
          <w:rFonts w:ascii="Calibri" w:hAnsi="Calibri"/>
          <w:sz w:val="24"/>
          <w:szCs w:val="24"/>
        </w:rPr>
      </w:pPr>
      <w:r w:rsidRPr="00C33D6E">
        <w:rPr>
          <w:rFonts w:ascii="Calibri" w:hAnsi="Calibri"/>
          <w:sz w:val="24"/>
          <w:szCs w:val="24"/>
        </w:rPr>
        <w:t>Property Address</w:t>
      </w:r>
    </w:p>
    <w:p w14:paraId="778D50C1" w14:textId="77777777" w:rsidR="00196AE1" w:rsidRPr="00C33D6E" w:rsidRDefault="00196AE1" w:rsidP="00E14863">
      <w:pPr>
        <w:pStyle w:val="ListParagraph"/>
        <w:numPr>
          <w:ilvl w:val="0"/>
          <w:numId w:val="20"/>
        </w:numPr>
        <w:spacing w:after="0" w:line="240" w:lineRule="auto"/>
        <w:rPr>
          <w:rFonts w:ascii="Calibri" w:hAnsi="Calibri"/>
          <w:sz w:val="24"/>
          <w:szCs w:val="24"/>
        </w:rPr>
      </w:pPr>
      <w:r w:rsidRPr="00C33D6E">
        <w:rPr>
          <w:rFonts w:ascii="Calibri" w:hAnsi="Calibri"/>
          <w:sz w:val="24"/>
          <w:szCs w:val="24"/>
        </w:rPr>
        <w:t>Mailing Address (if different from Property Address)</w:t>
      </w:r>
    </w:p>
    <w:p w14:paraId="035FEBC3" w14:textId="77777777" w:rsidR="00196AE1" w:rsidRPr="00C33D6E" w:rsidRDefault="00196AE1" w:rsidP="00E14863">
      <w:pPr>
        <w:pStyle w:val="ListParagraph"/>
        <w:numPr>
          <w:ilvl w:val="0"/>
          <w:numId w:val="20"/>
        </w:numPr>
        <w:spacing w:after="0" w:line="240" w:lineRule="auto"/>
        <w:rPr>
          <w:rFonts w:ascii="Calibri" w:hAnsi="Calibri"/>
          <w:sz w:val="24"/>
          <w:szCs w:val="24"/>
        </w:rPr>
      </w:pPr>
      <w:r w:rsidRPr="00C33D6E">
        <w:rPr>
          <w:rFonts w:ascii="Calibri" w:hAnsi="Calibri"/>
          <w:sz w:val="24"/>
          <w:szCs w:val="24"/>
        </w:rPr>
        <w:t>Phone</w:t>
      </w:r>
    </w:p>
    <w:p w14:paraId="11E43DD5" w14:textId="3F0A880A" w:rsidR="00196AE1" w:rsidRPr="00C33D6E" w:rsidRDefault="00FD2C84" w:rsidP="00E14863">
      <w:pPr>
        <w:pStyle w:val="ListParagraph"/>
        <w:numPr>
          <w:ilvl w:val="0"/>
          <w:numId w:val="20"/>
        </w:numPr>
        <w:spacing w:after="0" w:line="240" w:lineRule="auto"/>
        <w:rPr>
          <w:rFonts w:ascii="Calibri" w:hAnsi="Calibri"/>
          <w:sz w:val="24"/>
          <w:szCs w:val="24"/>
        </w:rPr>
      </w:pPr>
      <w:r>
        <w:rPr>
          <w:rFonts w:ascii="Calibri" w:hAnsi="Calibri"/>
          <w:sz w:val="24"/>
          <w:szCs w:val="24"/>
        </w:rPr>
        <w:t>Contact</w:t>
      </w:r>
      <w:r w:rsidRPr="00C33D6E">
        <w:rPr>
          <w:rFonts w:ascii="Calibri" w:hAnsi="Calibri"/>
          <w:sz w:val="24"/>
          <w:szCs w:val="24"/>
        </w:rPr>
        <w:t xml:space="preserve"> </w:t>
      </w:r>
      <w:r w:rsidR="00196AE1" w:rsidRPr="00C33D6E">
        <w:rPr>
          <w:rFonts w:ascii="Calibri" w:hAnsi="Calibri"/>
          <w:sz w:val="24"/>
          <w:szCs w:val="24"/>
        </w:rPr>
        <w:t>number (if applicable)</w:t>
      </w:r>
    </w:p>
    <w:p w14:paraId="7C24CB5F" w14:textId="77777777" w:rsidR="00196AE1" w:rsidRPr="00C33D6E" w:rsidRDefault="00196AE1" w:rsidP="00E14863">
      <w:pPr>
        <w:pStyle w:val="ListParagraph"/>
        <w:numPr>
          <w:ilvl w:val="0"/>
          <w:numId w:val="20"/>
        </w:numPr>
        <w:spacing w:after="0" w:line="240" w:lineRule="auto"/>
        <w:rPr>
          <w:rFonts w:ascii="Calibri" w:hAnsi="Calibri"/>
          <w:sz w:val="24"/>
          <w:szCs w:val="24"/>
        </w:rPr>
      </w:pPr>
      <w:r w:rsidRPr="00C33D6E">
        <w:rPr>
          <w:rFonts w:ascii="Calibri" w:hAnsi="Calibri"/>
          <w:sz w:val="24"/>
          <w:szCs w:val="24"/>
        </w:rPr>
        <w:t>Email Address</w:t>
      </w:r>
    </w:p>
    <w:p w14:paraId="2A9B0827" w14:textId="24F196D4" w:rsidR="00196AE1" w:rsidRPr="00C33D6E" w:rsidRDefault="00196AE1" w:rsidP="00E14863">
      <w:pPr>
        <w:pStyle w:val="ListParagraph"/>
        <w:numPr>
          <w:ilvl w:val="0"/>
          <w:numId w:val="20"/>
        </w:numPr>
        <w:spacing w:after="0" w:line="240" w:lineRule="auto"/>
        <w:rPr>
          <w:rFonts w:ascii="Calibri" w:hAnsi="Calibri"/>
          <w:sz w:val="24"/>
          <w:szCs w:val="24"/>
        </w:rPr>
      </w:pPr>
      <w:r w:rsidRPr="00C33D6E">
        <w:rPr>
          <w:rFonts w:ascii="Calibri" w:hAnsi="Calibri"/>
          <w:sz w:val="24"/>
          <w:szCs w:val="24"/>
        </w:rPr>
        <w:t>Reason for Appeal</w:t>
      </w:r>
    </w:p>
    <w:p w14:paraId="63340733" w14:textId="77777777" w:rsidR="005B7A25" w:rsidRPr="00C33D6E" w:rsidRDefault="005B7A25" w:rsidP="000307CA">
      <w:pPr>
        <w:pStyle w:val="ListParagraph"/>
        <w:spacing w:after="0" w:line="240" w:lineRule="auto"/>
        <w:rPr>
          <w:rFonts w:ascii="Calibri" w:hAnsi="Calibri"/>
          <w:sz w:val="24"/>
          <w:szCs w:val="24"/>
        </w:rPr>
      </w:pPr>
    </w:p>
    <w:p w14:paraId="178ED448" w14:textId="1D6954FD" w:rsidR="00196AE1" w:rsidRDefault="00196AE1" w:rsidP="000307CA">
      <w:pPr>
        <w:spacing w:after="0" w:line="240" w:lineRule="auto"/>
        <w:rPr>
          <w:rFonts w:asciiTheme="minorHAnsi" w:hAnsiTheme="minorHAnsi"/>
        </w:rPr>
      </w:pPr>
      <w:r w:rsidRPr="00C33D6E">
        <w:rPr>
          <w:rFonts w:ascii="Calibri" w:hAnsi="Calibri"/>
          <w:sz w:val="24"/>
          <w:szCs w:val="24"/>
        </w:rPr>
        <w:t>Appeals must be made within thirty (30) days of notice of the determination on the applicant’s file that generated the appeal. Upon receipt of an appeal, HCDD will respond in writing to the appellant of the program area’s decision regarding the appeal and provide the basis thereof within thirty (30) days, as practicable.</w:t>
      </w:r>
    </w:p>
    <w:p w14:paraId="339A3AC7" w14:textId="77777777" w:rsidR="00524B3D" w:rsidRDefault="00524B3D" w:rsidP="000307CA">
      <w:pPr>
        <w:spacing w:after="0" w:line="240" w:lineRule="auto"/>
        <w:rPr>
          <w:rFonts w:asciiTheme="minorHAnsi" w:hAnsiTheme="minorHAnsi"/>
        </w:rPr>
      </w:pPr>
    </w:p>
    <w:p w14:paraId="5D7289B9" w14:textId="659E70B9" w:rsidR="00196AE1" w:rsidRPr="005B7A25" w:rsidRDefault="00196AE1" w:rsidP="000307CA">
      <w:pPr>
        <w:pStyle w:val="Heading2"/>
        <w:spacing w:before="0" w:line="240" w:lineRule="auto"/>
        <w:rPr>
          <w:color w:val="5B9BD5" w:themeColor="accent5"/>
        </w:rPr>
      </w:pPr>
      <w:bookmarkStart w:id="148" w:name="_Toc5020445"/>
      <w:bookmarkStart w:id="149" w:name="_Toc8137216"/>
      <w:bookmarkStart w:id="150" w:name="_Toc22629022"/>
      <w:r w:rsidRPr="005B7A25">
        <w:rPr>
          <w:color w:val="5B9BD5" w:themeColor="accent5"/>
        </w:rPr>
        <w:t>Appeals Review Committee</w:t>
      </w:r>
      <w:bookmarkEnd w:id="148"/>
      <w:bookmarkEnd w:id="149"/>
      <w:bookmarkEnd w:id="150"/>
    </w:p>
    <w:p w14:paraId="0E1A678F"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Should the initial appeal process with the program area not achieve a resolution amenable to the appellant, the appellant has the right to escalate the appeal, in writing, to the Appeals Review Committee (ARC). The appellant may only escalate the appeal after the completion of the initial program area process.</w:t>
      </w:r>
    </w:p>
    <w:p w14:paraId="26039B43" w14:textId="77777777" w:rsidR="00196AE1" w:rsidRPr="00C33D6E" w:rsidRDefault="00196AE1" w:rsidP="000307CA">
      <w:pPr>
        <w:spacing w:after="0" w:line="240" w:lineRule="auto"/>
        <w:rPr>
          <w:rFonts w:ascii="Calibri" w:hAnsi="Calibri"/>
          <w:sz w:val="24"/>
          <w:szCs w:val="24"/>
        </w:rPr>
      </w:pPr>
    </w:p>
    <w:p w14:paraId="7E132DCE" w14:textId="2D67FAEE" w:rsidR="00196AE1" w:rsidRDefault="00196AE1" w:rsidP="000307CA">
      <w:pPr>
        <w:spacing w:after="0" w:line="240" w:lineRule="auto"/>
        <w:rPr>
          <w:rFonts w:asciiTheme="minorHAnsi" w:hAnsiTheme="minorHAnsi"/>
        </w:rPr>
      </w:pPr>
      <w:r w:rsidRPr="00C33D6E">
        <w:rPr>
          <w:rFonts w:ascii="Calibri" w:hAnsi="Calibri"/>
          <w:sz w:val="24"/>
          <w:szCs w:val="24"/>
        </w:rPr>
        <w:t xml:space="preserve">The ARC will process the escalated appeal within thirty (30) days, as practicable. The ARC will transmit their decision to the appellant in writing. </w:t>
      </w:r>
    </w:p>
    <w:p w14:paraId="11A2FF17" w14:textId="59F9EC25" w:rsidR="00972CE7" w:rsidRDefault="00972CE7" w:rsidP="000307CA">
      <w:pPr>
        <w:spacing w:after="0" w:line="240" w:lineRule="auto"/>
        <w:rPr>
          <w:rFonts w:asciiTheme="minorHAnsi" w:hAnsiTheme="minorHAnsi"/>
        </w:rPr>
      </w:pPr>
    </w:p>
    <w:p w14:paraId="63E52C25" w14:textId="77777777" w:rsidR="00F374E5" w:rsidRDefault="00F374E5" w:rsidP="000307CA">
      <w:pPr>
        <w:spacing w:after="0" w:line="240" w:lineRule="auto"/>
        <w:rPr>
          <w:rFonts w:asciiTheme="minorHAnsi" w:hAnsiTheme="minorHAnsi"/>
        </w:rPr>
      </w:pPr>
    </w:p>
    <w:p w14:paraId="40D129F4" w14:textId="05778EBB" w:rsidR="00196AE1" w:rsidRPr="005B7A25" w:rsidRDefault="00196AE1" w:rsidP="000307CA">
      <w:pPr>
        <w:pStyle w:val="Heading2"/>
        <w:spacing w:before="0" w:line="240" w:lineRule="auto"/>
        <w:rPr>
          <w:color w:val="5B9BD5" w:themeColor="accent5"/>
        </w:rPr>
      </w:pPr>
      <w:bookmarkStart w:id="151" w:name="_Toc5020446"/>
      <w:bookmarkStart w:id="152" w:name="_Toc8137217"/>
      <w:bookmarkStart w:id="153" w:name="_Toc22629023"/>
      <w:r w:rsidRPr="005B7A25">
        <w:rPr>
          <w:color w:val="5B9BD5" w:themeColor="accent5"/>
        </w:rPr>
        <w:t>Texas General Land Office</w:t>
      </w:r>
      <w:bookmarkEnd w:id="151"/>
      <w:bookmarkEnd w:id="152"/>
      <w:bookmarkEnd w:id="153"/>
    </w:p>
    <w:p w14:paraId="334341B2"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 xml:space="preserve">Should the appellant not be satisfied with the outcome determined by the ARC, they have the option to dispute the decision by sending an appeal in writing to the Texas General Land Office (GLO). The appellant has thirty (30) days to submit an appeal directly to GLO following receipt of the ARC’s decision regarding their appeal. </w:t>
      </w:r>
    </w:p>
    <w:p w14:paraId="363C0B27" w14:textId="77777777" w:rsidR="00196AE1" w:rsidRPr="00C33D6E" w:rsidRDefault="00196AE1" w:rsidP="000307CA">
      <w:pPr>
        <w:spacing w:after="0" w:line="240" w:lineRule="auto"/>
        <w:rPr>
          <w:rFonts w:ascii="Calibri" w:hAnsi="Calibri"/>
          <w:sz w:val="24"/>
          <w:szCs w:val="24"/>
        </w:rPr>
      </w:pPr>
    </w:p>
    <w:p w14:paraId="3884A791"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If no word on a pending appeal is received by HCDD within the appropriate timeline from GLO, HCDD will designate the appeal decision made by the Appeals Review Committee as the final decision and consider the matter closed.</w:t>
      </w:r>
    </w:p>
    <w:p w14:paraId="541D3BB1" w14:textId="77777777" w:rsidR="00196AE1" w:rsidRDefault="00196AE1" w:rsidP="000307CA">
      <w:pPr>
        <w:spacing w:after="0" w:line="240" w:lineRule="auto"/>
        <w:rPr>
          <w:rFonts w:asciiTheme="minorHAnsi" w:hAnsiTheme="minorHAnsi"/>
        </w:rPr>
      </w:pPr>
    </w:p>
    <w:p w14:paraId="0087E33A" w14:textId="4EF36E63" w:rsidR="00196AE1" w:rsidRPr="005B7A25" w:rsidRDefault="00196AE1" w:rsidP="000307CA">
      <w:pPr>
        <w:pStyle w:val="Heading2"/>
        <w:spacing w:before="0" w:line="240" w:lineRule="auto"/>
        <w:rPr>
          <w:color w:val="5B9BD5" w:themeColor="accent5"/>
        </w:rPr>
      </w:pPr>
      <w:bookmarkStart w:id="154" w:name="_Toc5020447"/>
      <w:bookmarkStart w:id="155" w:name="_Toc8137218"/>
      <w:bookmarkStart w:id="156" w:name="_Toc22629024"/>
      <w:r w:rsidRPr="005B7A25">
        <w:rPr>
          <w:color w:val="5B9BD5" w:themeColor="accent5"/>
        </w:rPr>
        <w:t>Contact Information</w:t>
      </w:r>
      <w:bookmarkEnd w:id="154"/>
      <w:bookmarkEnd w:id="155"/>
      <w:bookmarkEnd w:id="156"/>
    </w:p>
    <w:p w14:paraId="7824C716" w14:textId="77777777" w:rsidR="00196AE1" w:rsidRPr="00C33D6E" w:rsidRDefault="00196AE1" w:rsidP="000307CA">
      <w:pPr>
        <w:spacing w:after="0" w:line="240" w:lineRule="auto"/>
        <w:rPr>
          <w:rFonts w:ascii="Calibri" w:hAnsi="Calibri"/>
          <w:b/>
          <w:sz w:val="24"/>
          <w:szCs w:val="24"/>
        </w:rPr>
      </w:pPr>
      <w:r w:rsidRPr="00C33D6E">
        <w:rPr>
          <w:rFonts w:ascii="Calibri" w:hAnsi="Calibri"/>
          <w:b/>
          <w:sz w:val="24"/>
          <w:szCs w:val="24"/>
        </w:rPr>
        <w:t>HCDD Mailing Address</w:t>
      </w:r>
    </w:p>
    <w:p w14:paraId="35F69ED7" w14:textId="77777777" w:rsidR="00196AE1" w:rsidRPr="00C33D6E" w:rsidRDefault="00196AE1" w:rsidP="000307CA">
      <w:pPr>
        <w:spacing w:after="0" w:line="240" w:lineRule="auto"/>
        <w:rPr>
          <w:rFonts w:ascii="Calibri" w:hAnsi="Calibri"/>
          <w:b/>
          <w:sz w:val="24"/>
          <w:szCs w:val="24"/>
        </w:rPr>
      </w:pPr>
    </w:p>
    <w:p w14:paraId="51386942"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Housing and Community Development Department</w:t>
      </w:r>
    </w:p>
    <w:p w14:paraId="7C2AE9EE"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2100 Travis St., 9</w:t>
      </w:r>
      <w:r w:rsidRPr="00C33D6E">
        <w:rPr>
          <w:rFonts w:ascii="Calibri" w:hAnsi="Calibri"/>
          <w:sz w:val="24"/>
          <w:szCs w:val="24"/>
          <w:vertAlign w:val="superscript"/>
        </w:rPr>
        <w:t>th</w:t>
      </w:r>
      <w:r w:rsidRPr="00C33D6E">
        <w:rPr>
          <w:rFonts w:ascii="Calibri" w:hAnsi="Calibri"/>
          <w:sz w:val="24"/>
          <w:szCs w:val="24"/>
        </w:rPr>
        <w:t xml:space="preserve"> Floor</w:t>
      </w:r>
    </w:p>
    <w:p w14:paraId="155D5151"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Houston, TX 77002</w:t>
      </w:r>
    </w:p>
    <w:p w14:paraId="38053BA9" w14:textId="2AA935C2"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Attn: Planning &amp; Grants Management</w:t>
      </w:r>
    </w:p>
    <w:p w14:paraId="38802BAB" w14:textId="77777777" w:rsidR="005B7A25" w:rsidRPr="00C33D6E" w:rsidRDefault="005B7A25" w:rsidP="000307CA">
      <w:pPr>
        <w:spacing w:after="0" w:line="240" w:lineRule="auto"/>
        <w:rPr>
          <w:rFonts w:ascii="Calibri" w:hAnsi="Calibri"/>
          <w:sz w:val="24"/>
          <w:szCs w:val="24"/>
        </w:rPr>
      </w:pPr>
    </w:p>
    <w:p w14:paraId="3BCE94D1" w14:textId="77777777" w:rsidR="00196AE1" w:rsidRPr="00C33D6E" w:rsidRDefault="00196AE1" w:rsidP="000307CA">
      <w:pPr>
        <w:spacing w:after="0" w:line="240" w:lineRule="auto"/>
        <w:rPr>
          <w:rFonts w:ascii="Calibri" w:hAnsi="Calibri"/>
          <w:b/>
          <w:sz w:val="24"/>
          <w:szCs w:val="24"/>
        </w:rPr>
      </w:pPr>
      <w:r w:rsidRPr="00C33D6E">
        <w:rPr>
          <w:rFonts w:ascii="Calibri" w:hAnsi="Calibri"/>
          <w:b/>
          <w:sz w:val="24"/>
          <w:szCs w:val="24"/>
        </w:rPr>
        <w:t>HCDD Email Address</w:t>
      </w:r>
    </w:p>
    <w:p w14:paraId="7F2FE845" w14:textId="281810F2" w:rsidR="00196AE1" w:rsidRPr="00C33D6E" w:rsidRDefault="00FD76D6" w:rsidP="000307CA">
      <w:pPr>
        <w:spacing w:after="0" w:line="240" w:lineRule="auto"/>
        <w:rPr>
          <w:rFonts w:ascii="Calibri" w:hAnsi="Calibri"/>
          <w:sz w:val="24"/>
          <w:szCs w:val="24"/>
        </w:rPr>
      </w:pPr>
      <w:hyperlink r:id="rId23" w:history="1">
        <w:r w:rsidR="00196AE1" w:rsidRPr="00C33D6E">
          <w:rPr>
            <w:rStyle w:val="Hyperlink"/>
            <w:rFonts w:ascii="Calibri" w:hAnsi="Calibri"/>
            <w:sz w:val="24"/>
            <w:szCs w:val="24"/>
          </w:rPr>
          <w:t>HCDDComplaintsAppeals@houstontx.gov</w:t>
        </w:r>
      </w:hyperlink>
      <w:r w:rsidR="00196AE1" w:rsidRPr="00C33D6E">
        <w:rPr>
          <w:rFonts w:ascii="Calibri" w:hAnsi="Calibri"/>
          <w:sz w:val="24"/>
          <w:szCs w:val="24"/>
        </w:rPr>
        <w:t xml:space="preserve"> </w:t>
      </w:r>
    </w:p>
    <w:p w14:paraId="3E4ED4E1" w14:textId="23791D90" w:rsidR="005B7A25" w:rsidRDefault="005B7A25" w:rsidP="000307CA">
      <w:pPr>
        <w:spacing w:after="0" w:line="240" w:lineRule="auto"/>
        <w:rPr>
          <w:rFonts w:ascii="Calibri" w:hAnsi="Calibri"/>
          <w:sz w:val="24"/>
          <w:szCs w:val="24"/>
        </w:rPr>
      </w:pPr>
    </w:p>
    <w:p w14:paraId="786FE816" w14:textId="77777777" w:rsidR="00661AF8" w:rsidRPr="00C33D6E" w:rsidRDefault="00661AF8" w:rsidP="000307CA">
      <w:pPr>
        <w:spacing w:after="0" w:line="240" w:lineRule="auto"/>
        <w:rPr>
          <w:rFonts w:ascii="Calibri" w:hAnsi="Calibri"/>
          <w:sz w:val="24"/>
          <w:szCs w:val="24"/>
        </w:rPr>
      </w:pPr>
    </w:p>
    <w:p w14:paraId="6BEE90CE" w14:textId="77777777" w:rsidR="00196AE1" w:rsidRPr="00C33D6E" w:rsidRDefault="00196AE1" w:rsidP="000307CA">
      <w:pPr>
        <w:spacing w:after="0" w:line="240" w:lineRule="auto"/>
        <w:rPr>
          <w:rFonts w:ascii="Calibri" w:hAnsi="Calibri"/>
          <w:b/>
          <w:sz w:val="24"/>
          <w:szCs w:val="24"/>
        </w:rPr>
      </w:pPr>
      <w:r w:rsidRPr="00C33D6E">
        <w:rPr>
          <w:rFonts w:ascii="Calibri" w:hAnsi="Calibri"/>
          <w:b/>
          <w:sz w:val="24"/>
          <w:szCs w:val="24"/>
        </w:rPr>
        <w:t>HCDD Business Hours</w:t>
      </w:r>
    </w:p>
    <w:p w14:paraId="3A3624D9"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Monday through Friday</w:t>
      </w:r>
    </w:p>
    <w:p w14:paraId="4A3075F8"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8:00 AM to 5:00 PM</w:t>
      </w:r>
    </w:p>
    <w:p w14:paraId="402A7C77" w14:textId="77777777" w:rsidR="00196AE1" w:rsidRPr="00C33D6E" w:rsidRDefault="00196AE1" w:rsidP="000307CA">
      <w:pPr>
        <w:spacing w:after="0" w:line="240" w:lineRule="auto"/>
        <w:rPr>
          <w:rFonts w:ascii="Calibri" w:hAnsi="Calibri"/>
          <w:sz w:val="24"/>
          <w:szCs w:val="24"/>
        </w:rPr>
      </w:pPr>
    </w:p>
    <w:p w14:paraId="38F5C51C" w14:textId="77777777" w:rsidR="00196AE1" w:rsidRPr="00C33D6E" w:rsidRDefault="00196AE1" w:rsidP="000307CA">
      <w:pPr>
        <w:spacing w:after="0" w:line="240" w:lineRule="auto"/>
        <w:rPr>
          <w:rFonts w:ascii="Calibri" w:hAnsi="Calibri"/>
          <w:b/>
          <w:sz w:val="24"/>
          <w:szCs w:val="24"/>
        </w:rPr>
      </w:pPr>
      <w:r w:rsidRPr="00C33D6E">
        <w:rPr>
          <w:rFonts w:ascii="Calibri" w:hAnsi="Calibri"/>
          <w:b/>
          <w:sz w:val="24"/>
          <w:szCs w:val="24"/>
        </w:rPr>
        <w:t>GLO Mailing Address</w:t>
      </w:r>
    </w:p>
    <w:p w14:paraId="4797A1E2"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Texas General Land Office</w:t>
      </w:r>
    </w:p>
    <w:p w14:paraId="1F2A255C"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PO Box 12873</w:t>
      </w:r>
    </w:p>
    <w:p w14:paraId="2EE7EE20"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Austin, TX 78711-2873</w:t>
      </w:r>
    </w:p>
    <w:p w14:paraId="12A701D7" w14:textId="714981B8"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ATTN: GLO-CDR</w:t>
      </w:r>
    </w:p>
    <w:p w14:paraId="2C0262B6" w14:textId="77777777" w:rsidR="005B7A25" w:rsidRPr="00C33D6E" w:rsidRDefault="005B7A25" w:rsidP="000307CA">
      <w:pPr>
        <w:spacing w:after="0" w:line="240" w:lineRule="auto"/>
        <w:rPr>
          <w:rFonts w:ascii="Calibri" w:hAnsi="Calibri"/>
          <w:sz w:val="24"/>
          <w:szCs w:val="24"/>
        </w:rPr>
      </w:pPr>
    </w:p>
    <w:p w14:paraId="2BFE6222" w14:textId="77777777" w:rsidR="00196AE1" w:rsidRPr="00C33D6E" w:rsidRDefault="00196AE1" w:rsidP="000307CA">
      <w:pPr>
        <w:spacing w:after="0" w:line="240" w:lineRule="auto"/>
        <w:rPr>
          <w:rFonts w:ascii="Calibri" w:hAnsi="Calibri"/>
          <w:b/>
          <w:sz w:val="24"/>
          <w:szCs w:val="24"/>
        </w:rPr>
      </w:pPr>
      <w:r w:rsidRPr="00C33D6E">
        <w:rPr>
          <w:rFonts w:ascii="Calibri" w:hAnsi="Calibri"/>
          <w:b/>
          <w:sz w:val="24"/>
          <w:szCs w:val="24"/>
        </w:rPr>
        <w:t>GLO Email Address</w:t>
      </w:r>
    </w:p>
    <w:p w14:paraId="590781B3" w14:textId="5E05149B" w:rsidR="00196AE1" w:rsidRPr="00C33D6E" w:rsidRDefault="00FD76D6" w:rsidP="000307CA">
      <w:pPr>
        <w:spacing w:after="0" w:line="240" w:lineRule="auto"/>
        <w:rPr>
          <w:rFonts w:ascii="Calibri" w:hAnsi="Calibri"/>
          <w:sz w:val="24"/>
          <w:szCs w:val="24"/>
        </w:rPr>
      </w:pPr>
      <w:hyperlink r:id="rId24" w:history="1">
        <w:r w:rsidR="00196AE1" w:rsidRPr="00C33D6E">
          <w:rPr>
            <w:rStyle w:val="Hyperlink"/>
            <w:rFonts w:ascii="Calibri" w:hAnsi="Calibri"/>
            <w:sz w:val="24"/>
            <w:szCs w:val="24"/>
          </w:rPr>
          <w:t>cdr@recovery.texas.gov</w:t>
        </w:r>
      </w:hyperlink>
      <w:r w:rsidR="00196AE1" w:rsidRPr="00C33D6E">
        <w:rPr>
          <w:rFonts w:ascii="Calibri" w:hAnsi="Calibri"/>
          <w:sz w:val="24"/>
          <w:szCs w:val="24"/>
        </w:rPr>
        <w:t xml:space="preserve"> </w:t>
      </w:r>
    </w:p>
    <w:p w14:paraId="03F4596D" w14:textId="77777777" w:rsidR="005B7A25" w:rsidRPr="00C33D6E" w:rsidRDefault="005B7A25" w:rsidP="000307CA">
      <w:pPr>
        <w:spacing w:after="0" w:line="240" w:lineRule="auto"/>
        <w:rPr>
          <w:rFonts w:ascii="Calibri" w:hAnsi="Calibri"/>
          <w:sz w:val="24"/>
          <w:szCs w:val="24"/>
        </w:rPr>
      </w:pPr>
    </w:p>
    <w:p w14:paraId="10079795" w14:textId="77777777" w:rsidR="00196AE1" w:rsidRPr="00C33D6E" w:rsidRDefault="00196AE1" w:rsidP="000307CA">
      <w:pPr>
        <w:spacing w:after="0" w:line="240" w:lineRule="auto"/>
        <w:rPr>
          <w:rFonts w:ascii="Calibri" w:hAnsi="Calibri"/>
          <w:b/>
          <w:sz w:val="24"/>
          <w:szCs w:val="24"/>
        </w:rPr>
      </w:pPr>
      <w:r w:rsidRPr="00C33D6E">
        <w:rPr>
          <w:rFonts w:ascii="Calibri" w:hAnsi="Calibri"/>
          <w:b/>
          <w:sz w:val="24"/>
          <w:szCs w:val="24"/>
        </w:rPr>
        <w:t>GLO Telephone</w:t>
      </w:r>
    </w:p>
    <w:p w14:paraId="0E4EE3A8" w14:textId="77777777" w:rsidR="00196AE1" w:rsidRPr="00C33D6E" w:rsidRDefault="00196AE1" w:rsidP="000307CA">
      <w:pPr>
        <w:spacing w:after="0" w:line="240" w:lineRule="auto"/>
        <w:rPr>
          <w:rFonts w:ascii="Calibri" w:hAnsi="Calibri"/>
          <w:sz w:val="24"/>
          <w:szCs w:val="24"/>
        </w:rPr>
      </w:pPr>
      <w:r w:rsidRPr="00C33D6E">
        <w:rPr>
          <w:rFonts w:ascii="Calibri" w:hAnsi="Calibri"/>
          <w:sz w:val="24"/>
          <w:szCs w:val="24"/>
        </w:rPr>
        <w:t>(844) 893-8937</w:t>
      </w:r>
    </w:p>
    <w:p w14:paraId="74314B2F" w14:textId="42B5DCFF" w:rsidR="00196AE1" w:rsidRPr="00C33D6E" w:rsidRDefault="005B7A25" w:rsidP="000307CA">
      <w:pPr>
        <w:spacing w:after="0" w:line="240" w:lineRule="auto"/>
        <w:rPr>
          <w:rFonts w:ascii="Calibri" w:hAnsi="Calibri"/>
          <w:sz w:val="24"/>
          <w:szCs w:val="24"/>
        </w:rPr>
      </w:pPr>
      <w:r w:rsidRPr="00C33D6E">
        <w:rPr>
          <w:rFonts w:ascii="Calibri" w:hAnsi="Calibri"/>
          <w:sz w:val="24"/>
          <w:szCs w:val="24"/>
        </w:rPr>
        <w:t>(512) 475-5000</w:t>
      </w:r>
    </w:p>
    <w:p w14:paraId="68CC2815" w14:textId="77777777" w:rsidR="001E1389" w:rsidRPr="005B7A25" w:rsidRDefault="001E1389" w:rsidP="000307CA">
      <w:pPr>
        <w:spacing w:after="0" w:line="240" w:lineRule="auto"/>
        <w:rPr>
          <w:rStyle w:val="IntenseReference"/>
          <w:rFonts w:asciiTheme="minorHAnsi" w:hAnsiTheme="minorHAnsi"/>
          <w:b w:val="0"/>
          <w:bCs w:val="0"/>
          <w:smallCaps w:val="0"/>
        </w:rPr>
      </w:pPr>
    </w:p>
    <w:p w14:paraId="11CB9F99" w14:textId="22E8E086" w:rsidR="00034361" w:rsidRPr="003C5EBD" w:rsidRDefault="00034361" w:rsidP="000307CA">
      <w:pPr>
        <w:pStyle w:val="Title"/>
        <w:spacing w:after="0"/>
        <w:outlineLvl w:val="0"/>
        <w:rPr>
          <w:rStyle w:val="IntenseReference"/>
          <w:rFonts w:ascii="Calibri" w:hAnsi="Calibri" w:cs="Calibri"/>
          <w:b w:val="0"/>
          <w:bCs w:val="0"/>
          <w:color w:val="0070C0"/>
          <w:sz w:val="36"/>
          <w:szCs w:val="36"/>
        </w:rPr>
      </w:pPr>
      <w:bookmarkStart w:id="157" w:name="_Toc8137219"/>
      <w:bookmarkStart w:id="158" w:name="_Toc22629025"/>
      <w:r w:rsidRPr="003C5EBD">
        <w:rPr>
          <w:rStyle w:val="IntenseReference"/>
          <w:rFonts w:ascii="Calibri" w:hAnsi="Calibri" w:cs="Calibri"/>
          <w:b w:val="0"/>
          <w:bCs w:val="0"/>
          <w:color w:val="0070C0"/>
          <w:sz w:val="36"/>
          <w:szCs w:val="36"/>
        </w:rPr>
        <w:lastRenderedPageBreak/>
        <w:t>Program Closeout</w:t>
      </w:r>
      <w:bookmarkEnd w:id="157"/>
      <w:bookmarkEnd w:id="158"/>
    </w:p>
    <w:p w14:paraId="30711661" w14:textId="296479E2" w:rsidR="00034361" w:rsidRDefault="00034361" w:rsidP="000307CA">
      <w:pPr>
        <w:pStyle w:val="BodyText"/>
        <w:rPr>
          <w:rFonts w:ascii="Calibri" w:hAnsi="Calibri" w:cs="Calibri"/>
        </w:rPr>
      </w:pPr>
      <w:r w:rsidRPr="00C97D84">
        <w:rPr>
          <w:rFonts w:ascii="Calibri" w:hAnsi="Calibri" w:cs="Calibri"/>
        </w:rPr>
        <w:t>HCDD assigned program staff will coordinate all required file documentation with applicants and contractors necessary for program requirements and submit for approval of completion and closeout and proper record keeping.</w:t>
      </w:r>
      <w:r>
        <w:rPr>
          <w:rFonts w:ascii="Calibri" w:hAnsi="Calibri" w:cs="Calibri"/>
        </w:rPr>
        <w:t xml:space="preserve"> </w:t>
      </w:r>
    </w:p>
    <w:p w14:paraId="0EA49963" w14:textId="77777777" w:rsidR="004C347F" w:rsidRDefault="004C347F" w:rsidP="000307CA">
      <w:pPr>
        <w:pStyle w:val="BodyText"/>
        <w:rPr>
          <w:rFonts w:ascii="Calibri" w:hAnsi="Calibri" w:cs="Calibri"/>
        </w:rPr>
      </w:pPr>
    </w:p>
    <w:p w14:paraId="7D74572F" w14:textId="77777777" w:rsidR="00034361" w:rsidRPr="005B7A25" w:rsidRDefault="00034361" w:rsidP="000307CA">
      <w:pPr>
        <w:pStyle w:val="Heading2"/>
        <w:spacing w:before="0" w:line="240" w:lineRule="auto"/>
        <w:rPr>
          <w:smallCaps w:val="0"/>
          <w:color w:val="5B9BD5" w:themeColor="accent5"/>
        </w:rPr>
      </w:pPr>
      <w:bookmarkStart w:id="159" w:name="_Toc8137220"/>
      <w:bookmarkStart w:id="160" w:name="_Toc22629026"/>
      <w:r w:rsidRPr="005B7A25">
        <w:rPr>
          <w:smallCaps w:val="0"/>
          <w:color w:val="5B9BD5" w:themeColor="accent5"/>
        </w:rPr>
        <w:t>Definitions</w:t>
      </w:r>
      <w:bookmarkEnd w:id="159"/>
      <w:bookmarkEnd w:id="160"/>
    </w:p>
    <w:p w14:paraId="73419F01" w14:textId="20C8437D" w:rsidR="00034361" w:rsidRPr="00C97D84" w:rsidRDefault="00034361" w:rsidP="000307CA">
      <w:pPr>
        <w:spacing w:after="0" w:line="240" w:lineRule="auto"/>
        <w:rPr>
          <w:rFonts w:ascii="Calibri" w:eastAsia="Times New Roman" w:hAnsi="Calibri" w:cs="Calibri"/>
          <w:sz w:val="24"/>
          <w:szCs w:val="24"/>
        </w:rPr>
      </w:pPr>
      <w:r w:rsidRPr="00C97D84">
        <w:rPr>
          <w:rFonts w:ascii="Calibri" w:eastAsia="Times New Roman" w:hAnsi="Calibri" w:cs="Calibri"/>
          <w:bCs/>
          <w:i/>
          <w:sz w:val="24"/>
          <w:szCs w:val="24"/>
        </w:rPr>
        <w:t>Acquisition</w:t>
      </w:r>
      <w:r w:rsidRPr="00C97D84">
        <w:rPr>
          <w:rFonts w:ascii="Calibri" w:eastAsia="Times New Roman" w:hAnsi="Calibri" w:cs="Calibri"/>
          <w:bCs/>
          <w:sz w:val="24"/>
          <w:szCs w:val="24"/>
        </w:rPr>
        <w:t>:</w:t>
      </w:r>
      <w:r>
        <w:rPr>
          <w:rFonts w:ascii="Calibri" w:eastAsia="Times New Roman" w:hAnsi="Calibri" w:cs="Calibri"/>
          <w:bCs/>
          <w:sz w:val="24"/>
          <w:szCs w:val="24"/>
        </w:rPr>
        <w:t xml:space="preserve"> </w:t>
      </w:r>
      <w:r w:rsidRPr="00C97D84">
        <w:rPr>
          <w:rFonts w:ascii="Calibri" w:eastAsia="Times New Roman" w:hAnsi="Calibri" w:cs="Calibri"/>
          <w:sz w:val="24"/>
          <w:szCs w:val="24"/>
        </w:rPr>
        <w:t xml:space="preserve">Acquisition of Real Property at 100 percent post-disaster fair market value (FMV) of the land and structures that allows City to acquire real property for any public purpose, as set forth in 24 </w:t>
      </w:r>
      <w:r w:rsidR="00636655">
        <w:rPr>
          <w:rFonts w:ascii="Calibri" w:eastAsia="Times New Roman" w:hAnsi="Calibri" w:cs="Calibri"/>
          <w:sz w:val="24"/>
          <w:szCs w:val="24"/>
        </w:rPr>
        <w:t>C.F.R.</w:t>
      </w:r>
      <w:r w:rsidRPr="00C97D84">
        <w:rPr>
          <w:rFonts w:ascii="Calibri" w:eastAsia="Times New Roman" w:hAnsi="Calibri" w:cs="Calibri"/>
          <w:sz w:val="24"/>
          <w:szCs w:val="24"/>
        </w:rPr>
        <w:t xml:space="preserve"> </w:t>
      </w:r>
      <w:r w:rsidR="00636655">
        <w:rPr>
          <w:rFonts w:ascii="Calibri" w:eastAsia="Times New Roman" w:hAnsi="Calibri" w:cs="Calibri"/>
          <w:sz w:val="24"/>
          <w:szCs w:val="24"/>
        </w:rPr>
        <w:t xml:space="preserve">§ </w:t>
      </w:r>
      <w:r w:rsidRPr="00C97D84">
        <w:rPr>
          <w:rFonts w:ascii="Calibri" w:eastAsia="Times New Roman" w:hAnsi="Calibri" w:cs="Calibri"/>
          <w:sz w:val="24"/>
          <w:szCs w:val="24"/>
        </w:rPr>
        <w:t>570.201(a).</w:t>
      </w:r>
      <w:r>
        <w:rPr>
          <w:rFonts w:ascii="Calibri" w:eastAsia="Times New Roman" w:hAnsi="Calibri" w:cs="Calibri"/>
          <w:sz w:val="24"/>
          <w:szCs w:val="24"/>
        </w:rPr>
        <w:t xml:space="preserve"> </w:t>
      </w:r>
      <w:r w:rsidRPr="00C97D84">
        <w:rPr>
          <w:rFonts w:ascii="Calibri" w:eastAsia="Times New Roman" w:hAnsi="Calibri" w:cs="Calibri"/>
          <w:sz w:val="24"/>
          <w:szCs w:val="24"/>
        </w:rPr>
        <w:t>Methods of acquisition include purchase, long-term lease (15+ years), donation or otherwise (CPD-17-09).</w:t>
      </w:r>
      <w:r>
        <w:rPr>
          <w:rFonts w:ascii="Calibri" w:eastAsia="Times New Roman" w:hAnsi="Calibri" w:cs="Calibri"/>
          <w:sz w:val="24"/>
          <w:szCs w:val="24"/>
        </w:rPr>
        <w:t xml:space="preserve"> </w:t>
      </w:r>
      <w:r w:rsidRPr="00C97D84">
        <w:rPr>
          <w:rFonts w:ascii="Calibri" w:eastAsia="Times New Roman" w:hAnsi="Calibri" w:cs="Calibri"/>
          <w:sz w:val="24"/>
          <w:szCs w:val="24"/>
        </w:rPr>
        <w:t xml:space="preserve">The City has the flexibility to hold any property purchased through acquisition as undeveloped green space </w:t>
      </w:r>
      <w:r w:rsidR="00ED6BEE">
        <w:rPr>
          <w:rFonts w:ascii="Calibri" w:eastAsia="Times New Roman" w:hAnsi="Calibri" w:cs="Calibri"/>
          <w:sz w:val="24"/>
          <w:szCs w:val="24"/>
        </w:rPr>
        <w:t>and/or detention</w:t>
      </w:r>
      <w:r w:rsidRPr="00C97D84">
        <w:rPr>
          <w:rFonts w:ascii="Calibri" w:eastAsia="Times New Roman" w:hAnsi="Calibri" w:cs="Calibri"/>
          <w:sz w:val="24"/>
          <w:szCs w:val="24"/>
        </w:rPr>
        <w:t xml:space="preserve">. </w:t>
      </w:r>
    </w:p>
    <w:p w14:paraId="5D8742F8" w14:textId="70E4B450" w:rsidR="00034361" w:rsidRPr="00C97D84" w:rsidRDefault="00034361" w:rsidP="000307CA">
      <w:pPr>
        <w:spacing w:after="0" w:line="240" w:lineRule="auto"/>
        <w:rPr>
          <w:rFonts w:ascii="Calibri" w:eastAsia="Times New Roman" w:hAnsi="Calibri" w:cs="Calibri"/>
          <w:sz w:val="24"/>
          <w:szCs w:val="24"/>
        </w:rPr>
      </w:pPr>
    </w:p>
    <w:p w14:paraId="7DC79B73" w14:textId="3DD1CD87" w:rsidR="00034361" w:rsidRPr="00C97D84" w:rsidRDefault="00034361" w:rsidP="000307CA">
      <w:pPr>
        <w:spacing w:after="0" w:line="240" w:lineRule="auto"/>
        <w:rPr>
          <w:rFonts w:ascii="Calibri" w:eastAsia="Times New Roman" w:hAnsi="Calibri" w:cs="Calibri"/>
          <w:sz w:val="24"/>
          <w:szCs w:val="24"/>
        </w:rPr>
      </w:pPr>
      <w:r w:rsidRPr="00C97D84">
        <w:rPr>
          <w:rFonts w:ascii="Calibri" w:eastAsia="Times New Roman" w:hAnsi="Calibri" w:cs="Calibri"/>
          <w:bCs/>
          <w:i/>
          <w:sz w:val="24"/>
          <w:szCs w:val="24"/>
        </w:rPr>
        <w:t>Affirmatively Furthering Fair Housing (AFFH</w:t>
      </w:r>
      <w:r w:rsidRPr="00C97D84">
        <w:rPr>
          <w:rFonts w:ascii="Calibri" w:eastAsia="Times New Roman" w:hAnsi="Calibri" w:cs="Calibri"/>
          <w:bCs/>
          <w:sz w:val="24"/>
          <w:szCs w:val="24"/>
        </w:rPr>
        <w:t>):</w:t>
      </w:r>
      <w:r>
        <w:rPr>
          <w:rFonts w:ascii="Calibri" w:eastAsia="Times New Roman" w:hAnsi="Calibri" w:cs="Calibri"/>
          <w:bCs/>
          <w:sz w:val="24"/>
          <w:szCs w:val="24"/>
        </w:rPr>
        <w:t xml:space="preserve"> </w:t>
      </w:r>
      <w:r w:rsidRPr="00C97D84">
        <w:rPr>
          <w:rFonts w:ascii="Calibri" w:eastAsia="Times New Roman" w:hAnsi="Calibri" w:cs="Calibri"/>
          <w:sz w:val="24"/>
          <w:szCs w:val="24"/>
        </w:rPr>
        <w:t>AFFH is a legal requirement that federal agencies and federal grantees further the purposes of the Fair Housing Act.</w:t>
      </w:r>
      <w:r>
        <w:rPr>
          <w:rFonts w:ascii="Calibri" w:eastAsia="Times New Roman" w:hAnsi="Calibri" w:cs="Calibri"/>
          <w:sz w:val="24"/>
          <w:szCs w:val="24"/>
        </w:rPr>
        <w:t xml:space="preserve"> </w:t>
      </w:r>
      <w:r w:rsidRPr="00C97D84">
        <w:rPr>
          <w:rFonts w:ascii="Calibri" w:eastAsia="Times New Roman" w:hAnsi="Calibri" w:cs="Calibri"/>
          <w:sz w:val="24"/>
          <w:szCs w:val="24"/>
        </w:rPr>
        <w:t>HUD's AFFH rule provides an effective planning approach to aid program participants in taking meaningful actions to overcome historic patterns of segregation, promote fair housing choice, and foster inclusive communities that are free from discrimination.</w:t>
      </w:r>
      <w:r>
        <w:rPr>
          <w:rFonts w:ascii="Calibri" w:eastAsia="Times New Roman" w:hAnsi="Calibri" w:cs="Calibri"/>
          <w:sz w:val="24"/>
          <w:szCs w:val="24"/>
        </w:rPr>
        <w:t xml:space="preserve"> </w:t>
      </w:r>
      <w:r w:rsidRPr="00C97D84">
        <w:rPr>
          <w:rFonts w:ascii="Calibri" w:eastAsia="Times New Roman" w:hAnsi="Calibri" w:cs="Calibri"/>
          <w:sz w:val="24"/>
          <w:szCs w:val="24"/>
        </w:rPr>
        <w:t xml:space="preserve">The HUD AFFH assessment tool and final rule can be found here: </w:t>
      </w:r>
      <w:hyperlink r:id="rId25" w:history="1">
        <w:r w:rsidRPr="00C97D84">
          <w:rPr>
            <w:rStyle w:val="Hyperlink"/>
            <w:rFonts w:ascii="Calibri" w:eastAsia="Times New Roman" w:hAnsi="Calibri" w:cs="Calibri"/>
            <w:sz w:val="24"/>
            <w:szCs w:val="24"/>
          </w:rPr>
          <w:t>https://www.huduser.gov/portal/affht_pt.html</w:t>
        </w:r>
      </w:hyperlink>
      <w:r w:rsidRPr="00C97D84">
        <w:rPr>
          <w:rFonts w:ascii="Calibri" w:eastAsia="Times New Roman" w:hAnsi="Calibri" w:cs="Calibri"/>
          <w:sz w:val="24"/>
          <w:szCs w:val="24"/>
        </w:rPr>
        <w:t xml:space="preserve">. </w:t>
      </w:r>
    </w:p>
    <w:p w14:paraId="445AFC7A" w14:textId="7237FD36" w:rsidR="00034361" w:rsidRPr="00C97D84" w:rsidRDefault="00034361" w:rsidP="000307CA">
      <w:pPr>
        <w:spacing w:after="0" w:line="240" w:lineRule="auto"/>
        <w:rPr>
          <w:rFonts w:ascii="Calibri" w:eastAsia="Times New Roman" w:hAnsi="Calibri" w:cs="Calibri"/>
          <w:sz w:val="24"/>
          <w:szCs w:val="24"/>
        </w:rPr>
      </w:pPr>
    </w:p>
    <w:p w14:paraId="27ABFA25" w14:textId="22756359" w:rsidR="00DE4EE5" w:rsidRPr="00D919D1" w:rsidRDefault="00DE4EE5" w:rsidP="00790367">
      <w:pPr>
        <w:spacing w:after="0" w:line="240" w:lineRule="auto"/>
        <w:rPr>
          <w:rFonts w:ascii="Calibri" w:eastAsia="Times New Roman" w:hAnsi="Calibri" w:cs="Calibri"/>
          <w:bCs/>
          <w:sz w:val="24"/>
          <w:szCs w:val="24"/>
        </w:rPr>
      </w:pPr>
      <w:r>
        <w:rPr>
          <w:rFonts w:ascii="Calibri" w:eastAsia="Times New Roman" w:hAnsi="Calibri" w:cs="Calibri"/>
          <w:bCs/>
          <w:i/>
          <w:sz w:val="24"/>
          <w:szCs w:val="24"/>
        </w:rPr>
        <w:t xml:space="preserve">Buyout- </w:t>
      </w:r>
      <w:r w:rsidR="00790367">
        <w:rPr>
          <w:rFonts w:ascii="Calibri" w:eastAsia="Times New Roman" w:hAnsi="Calibri" w:cs="Calibri"/>
          <w:bCs/>
          <w:sz w:val="24"/>
          <w:szCs w:val="24"/>
        </w:rPr>
        <w:t xml:space="preserve">Purchase of an eligible property at the </w:t>
      </w:r>
      <w:r w:rsidR="00790367" w:rsidRPr="00355B96">
        <w:rPr>
          <w:rFonts w:ascii="Calibri" w:hAnsi="Calibri"/>
          <w:sz w:val="24"/>
          <w:szCs w:val="24"/>
        </w:rPr>
        <w:t xml:space="preserve">post-disaster </w:t>
      </w:r>
      <w:r w:rsidR="00790367">
        <w:rPr>
          <w:rFonts w:ascii="Calibri" w:hAnsi="Calibri"/>
          <w:sz w:val="24"/>
          <w:szCs w:val="24"/>
        </w:rPr>
        <w:t>Fair Market Value (</w:t>
      </w:r>
      <w:r w:rsidR="00790367" w:rsidRPr="00355B96">
        <w:rPr>
          <w:rFonts w:ascii="Calibri" w:hAnsi="Calibri"/>
          <w:sz w:val="24"/>
          <w:szCs w:val="24"/>
        </w:rPr>
        <w:t>FMV</w:t>
      </w:r>
      <w:r w:rsidR="00790367">
        <w:rPr>
          <w:rFonts w:ascii="Calibri" w:hAnsi="Calibri"/>
          <w:sz w:val="24"/>
          <w:szCs w:val="24"/>
        </w:rPr>
        <w:t>)</w:t>
      </w:r>
      <w:r w:rsidR="00D7793D">
        <w:rPr>
          <w:rFonts w:ascii="Calibri" w:eastAsia="Times New Roman" w:hAnsi="Calibri" w:cs="Calibri"/>
          <w:bCs/>
          <w:sz w:val="24"/>
          <w:szCs w:val="24"/>
        </w:rPr>
        <w:t xml:space="preserve"> with the into to reduce risk from future flooding</w:t>
      </w:r>
      <w:r w:rsidR="00790367">
        <w:rPr>
          <w:rFonts w:ascii="Calibri" w:eastAsia="Times New Roman" w:hAnsi="Calibri" w:cs="Calibri"/>
          <w:bCs/>
          <w:sz w:val="24"/>
          <w:szCs w:val="24"/>
        </w:rPr>
        <w:t xml:space="preserve"> or reduce risk from future hazard</w:t>
      </w:r>
      <w:r w:rsidR="00D7793D">
        <w:rPr>
          <w:rFonts w:ascii="Calibri" w:eastAsia="Times New Roman" w:hAnsi="Calibri" w:cs="Calibri"/>
          <w:bCs/>
          <w:sz w:val="24"/>
          <w:szCs w:val="24"/>
        </w:rPr>
        <w:t>.</w:t>
      </w:r>
      <w:r w:rsidR="00AF7AEC">
        <w:rPr>
          <w:rFonts w:ascii="Calibri" w:eastAsia="Times New Roman" w:hAnsi="Calibri" w:cs="Calibri"/>
          <w:bCs/>
          <w:sz w:val="24"/>
          <w:szCs w:val="24"/>
        </w:rPr>
        <w:t xml:space="preserve"> </w:t>
      </w:r>
      <w:r w:rsidR="00B101E4">
        <w:rPr>
          <w:rFonts w:ascii="Calibri" w:eastAsia="Times New Roman" w:hAnsi="Calibri" w:cs="Calibri"/>
          <w:bCs/>
          <w:sz w:val="24"/>
          <w:szCs w:val="24"/>
        </w:rPr>
        <w:t xml:space="preserve">The property acquired will be dedicated and maintained in perpetuity for a use that is compatible with open space, recreational, or floodplain, and wetlands management practices. </w:t>
      </w:r>
    </w:p>
    <w:p w14:paraId="4A19737B" w14:textId="77777777" w:rsidR="00DE4EE5" w:rsidRDefault="00DE4EE5" w:rsidP="000307CA">
      <w:pPr>
        <w:spacing w:after="0" w:line="240" w:lineRule="auto"/>
        <w:rPr>
          <w:rFonts w:ascii="Calibri" w:eastAsia="Times New Roman" w:hAnsi="Calibri" w:cs="Calibri"/>
          <w:bCs/>
          <w:i/>
          <w:sz w:val="24"/>
          <w:szCs w:val="24"/>
        </w:rPr>
      </w:pPr>
    </w:p>
    <w:p w14:paraId="7194AF81" w14:textId="6950BCAC" w:rsidR="00034361" w:rsidRPr="00C97D84" w:rsidRDefault="00034361" w:rsidP="000307CA">
      <w:pPr>
        <w:spacing w:after="0" w:line="240" w:lineRule="auto"/>
        <w:rPr>
          <w:rFonts w:ascii="Calibri" w:eastAsia="Times New Roman" w:hAnsi="Calibri" w:cs="Calibri"/>
          <w:sz w:val="24"/>
          <w:szCs w:val="24"/>
        </w:rPr>
      </w:pPr>
      <w:r w:rsidRPr="00C97D84">
        <w:rPr>
          <w:rFonts w:ascii="Calibri" w:eastAsia="Times New Roman" w:hAnsi="Calibri" w:cs="Calibri"/>
          <w:bCs/>
          <w:i/>
          <w:sz w:val="24"/>
          <w:szCs w:val="24"/>
        </w:rPr>
        <w:t>Davis-Bacon Act of 1931 (40 U</w:t>
      </w:r>
      <w:r w:rsidR="00A17C51">
        <w:rPr>
          <w:rFonts w:ascii="Calibri" w:eastAsia="Times New Roman" w:hAnsi="Calibri" w:cs="Calibri"/>
          <w:bCs/>
          <w:i/>
          <w:sz w:val="24"/>
          <w:szCs w:val="24"/>
        </w:rPr>
        <w:t>.</w:t>
      </w:r>
      <w:r w:rsidRPr="00C97D84">
        <w:rPr>
          <w:rFonts w:ascii="Calibri" w:eastAsia="Times New Roman" w:hAnsi="Calibri" w:cs="Calibri"/>
          <w:bCs/>
          <w:i/>
          <w:sz w:val="24"/>
          <w:szCs w:val="24"/>
        </w:rPr>
        <w:t>S</w:t>
      </w:r>
      <w:r w:rsidR="00A17C51">
        <w:rPr>
          <w:rFonts w:ascii="Calibri" w:eastAsia="Times New Roman" w:hAnsi="Calibri" w:cs="Calibri"/>
          <w:bCs/>
          <w:i/>
          <w:sz w:val="24"/>
          <w:szCs w:val="24"/>
        </w:rPr>
        <w:t>.</w:t>
      </w:r>
      <w:r w:rsidRPr="00C97D84">
        <w:rPr>
          <w:rFonts w:ascii="Calibri" w:eastAsia="Times New Roman" w:hAnsi="Calibri" w:cs="Calibri"/>
          <w:bCs/>
          <w:i/>
          <w:sz w:val="24"/>
          <w:szCs w:val="24"/>
        </w:rPr>
        <w:t>C</w:t>
      </w:r>
      <w:r w:rsidR="00A17C51">
        <w:rPr>
          <w:rFonts w:ascii="Calibri" w:eastAsia="Times New Roman" w:hAnsi="Calibri" w:cs="Calibri"/>
          <w:bCs/>
          <w:i/>
          <w:sz w:val="24"/>
          <w:szCs w:val="24"/>
        </w:rPr>
        <w:t>.</w:t>
      </w:r>
      <w:r w:rsidRPr="00C97D84">
        <w:rPr>
          <w:rFonts w:ascii="Calibri" w:eastAsia="Times New Roman" w:hAnsi="Calibri" w:cs="Calibri"/>
          <w:bCs/>
          <w:i/>
          <w:sz w:val="24"/>
          <w:szCs w:val="24"/>
        </w:rPr>
        <w:t xml:space="preserve"> </w:t>
      </w:r>
      <w:r w:rsidR="00A17C51">
        <w:rPr>
          <w:rFonts w:ascii="Calibri" w:eastAsia="Times New Roman" w:hAnsi="Calibri" w:cs="Calibri"/>
          <w:bCs/>
          <w:i/>
          <w:sz w:val="24"/>
          <w:szCs w:val="24"/>
        </w:rPr>
        <w:t>§</w:t>
      </w:r>
      <w:r w:rsidRPr="00C97D84">
        <w:rPr>
          <w:rFonts w:ascii="Calibri" w:eastAsia="Times New Roman" w:hAnsi="Calibri" w:cs="Calibri"/>
          <w:bCs/>
          <w:i/>
          <w:sz w:val="24"/>
          <w:szCs w:val="24"/>
        </w:rPr>
        <w:t xml:space="preserve"> 3141 et seq.) and Related Acts (DBRA)</w:t>
      </w:r>
      <w:r w:rsidRPr="00C97D84">
        <w:rPr>
          <w:rFonts w:ascii="Calibri" w:eastAsia="Times New Roman" w:hAnsi="Calibri" w:cs="Calibri"/>
          <w:bCs/>
          <w:sz w:val="24"/>
          <w:szCs w:val="24"/>
        </w:rPr>
        <w:t>:</w:t>
      </w:r>
      <w:r>
        <w:rPr>
          <w:rFonts w:ascii="Calibri" w:eastAsia="Times New Roman" w:hAnsi="Calibri" w:cs="Calibri"/>
          <w:bCs/>
          <w:sz w:val="24"/>
          <w:szCs w:val="24"/>
        </w:rPr>
        <w:t xml:space="preserve"> </w:t>
      </w:r>
      <w:r w:rsidRPr="00C97D84">
        <w:rPr>
          <w:rFonts w:ascii="Calibri" w:eastAsia="Times New Roman" w:hAnsi="Calibri" w:cs="Calibri"/>
          <w:sz w:val="24"/>
          <w:szCs w:val="24"/>
        </w:rPr>
        <w:t>All laborers and mechanics employed by contractors or subcontractors in the performance of construction work financed in whole or in part with assistance received under this chapter shall be paid wages at rates not less than those prevailing on similar construction in the locality as determined by the Secretary of Labor in accordance with the Davis-Bacon Act, as amended.</w:t>
      </w:r>
      <w:r>
        <w:rPr>
          <w:rFonts w:ascii="Calibri" w:eastAsia="Times New Roman" w:hAnsi="Calibri" w:cs="Calibri"/>
          <w:sz w:val="24"/>
          <w:szCs w:val="24"/>
        </w:rPr>
        <w:t xml:space="preserve"> </w:t>
      </w:r>
      <w:r w:rsidRPr="00C97D84">
        <w:rPr>
          <w:rFonts w:ascii="Calibri" w:eastAsia="Times New Roman" w:hAnsi="Calibri" w:cs="Calibri"/>
          <w:sz w:val="24"/>
          <w:szCs w:val="24"/>
        </w:rPr>
        <w:t>This applies to the rehabilitation and reconstruction of residential property only if such property contains not less than 8 units.</w:t>
      </w:r>
    </w:p>
    <w:p w14:paraId="701DEA3C" w14:textId="77777777" w:rsidR="00034361" w:rsidRPr="00C97D84" w:rsidRDefault="00034361" w:rsidP="000307CA">
      <w:pPr>
        <w:spacing w:after="0" w:line="240" w:lineRule="auto"/>
        <w:rPr>
          <w:rFonts w:ascii="Calibri" w:eastAsia="Times New Roman" w:hAnsi="Calibri" w:cs="Calibri"/>
          <w:sz w:val="24"/>
          <w:szCs w:val="24"/>
        </w:rPr>
      </w:pPr>
    </w:p>
    <w:p w14:paraId="46B00219" w14:textId="77777777" w:rsidR="00034361" w:rsidRPr="00C97D84" w:rsidRDefault="00034361" w:rsidP="000307CA">
      <w:pPr>
        <w:spacing w:after="0" w:line="240" w:lineRule="auto"/>
        <w:rPr>
          <w:rFonts w:ascii="Calibri" w:eastAsia="Times New Roman" w:hAnsi="Calibri" w:cs="Calibri"/>
          <w:sz w:val="24"/>
          <w:szCs w:val="24"/>
        </w:rPr>
      </w:pPr>
      <w:r w:rsidRPr="00C97D84">
        <w:rPr>
          <w:rFonts w:ascii="Calibri" w:eastAsia="Times New Roman" w:hAnsi="Calibri" w:cs="Calibri"/>
          <w:bCs/>
          <w:i/>
          <w:sz w:val="24"/>
          <w:szCs w:val="24"/>
        </w:rPr>
        <w:t>Demolition</w:t>
      </w:r>
      <w:r w:rsidRPr="00C97D84">
        <w:rPr>
          <w:rFonts w:ascii="Calibri" w:eastAsia="Times New Roman" w:hAnsi="Calibri" w:cs="Calibri"/>
          <w:bCs/>
          <w:sz w:val="24"/>
          <w:szCs w:val="24"/>
        </w:rPr>
        <w:t>:</w:t>
      </w:r>
      <w:r>
        <w:rPr>
          <w:rFonts w:ascii="Calibri" w:eastAsia="Times New Roman" w:hAnsi="Calibri" w:cs="Calibri"/>
          <w:bCs/>
          <w:sz w:val="24"/>
          <w:szCs w:val="24"/>
        </w:rPr>
        <w:t xml:space="preserve"> </w:t>
      </w:r>
      <w:r w:rsidRPr="00C97D84">
        <w:rPr>
          <w:rFonts w:ascii="Calibri" w:eastAsia="Times New Roman" w:hAnsi="Calibri" w:cs="Calibri"/>
          <w:sz w:val="24"/>
          <w:szCs w:val="24"/>
        </w:rPr>
        <w:t xml:space="preserve">The clearance and proper disposal of dilapidated buildings and improvements. </w:t>
      </w:r>
    </w:p>
    <w:p w14:paraId="001C1DC3" w14:textId="63B6D71A" w:rsidR="00034361" w:rsidRPr="00C97D84" w:rsidRDefault="00034361" w:rsidP="000307CA">
      <w:pPr>
        <w:pStyle w:val="NormalWeb"/>
        <w:spacing w:before="0" w:beforeAutospacing="0" w:after="0" w:afterAutospacing="0"/>
        <w:rPr>
          <w:rFonts w:ascii="Calibri" w:hAnsi="Calibri" w:cs="Calibri"/>
        </w:rPr>
      </w:pPr>
    </w:p>
    <w:p w14:paraId="51AE667B" w14:textId="47D0F295" w:rsidR="00034361" w:rsidRPr="00C97D84" w:rsidRDefault="00034361" w:rsidP="000307CA">
      <w:pPr>
        <w:pStyle w:val="NormalWeb"/>
        <w:spacing w:before="0" w:beforeAutospacing="0" w:after="0" w:afterAutospacing="0"/>
        <w:rPr>
          <w:rFonts w:ascii="Calibri" w:hAnsi="Calibri" w:cs="Calibri"/>
        </w:rPr>
      </w:pPr>
      <w:r w:rsidRPr="00C97D84">
        <w:rPr>
          <w:rFonts w:ascii="Calibri" w:hAnsi="Calibri" w:cs="Calibri"/>
          <w:bCs/>
          <w:i/>
        </w:rPr>
        <w:t>Environmental Review</w:t>
      </w:r>
      <w:r w:rsidRPr="00C97D84">
        <w:rPr>
          <w:rFonts w:ascii="Calibri" w:hAnsi="Calibri" w:cs="Calibri"/>
          <w:bCs/>
        </w:rPr>
        <w:t>:</w:t>
      </w:r>
      <w:r>
        <w:rPr>
          <w:rFonts w:ascii="Calibri" w:hAnsi="Calibri" w:cs="Calibri"/>
          <w:bCs/>
        </w:rPr>
        <w:t xml:space="preserve"> </w:t>
      </w:r>
      <w:r w:rsidRPr="00C97D84">
        <w:rPr>
          <w:rFonts w:ascii="Calibri" w:hAnsi="Calibri" w:cs="Calibri"/>
        </w:rPr>
        <w:t>All qualified projects must undergo an environmental review process.</w:t>
      </w:r>
      <w:r>
        <w:rPr>
          <w:rFonts w:ascii="Calibri" w:hAnsi="Calibri" w:cs="Calibri"/>
        </w:rPr>
        <w:t xml:space="preserve"> </w:t>
      </w:r>
      <w:r w:rsidRPr="00C97D84">
        <w:rPr>
          <w:rFonts w:ascii="Calibri" w:hAnsi="Calibri" w:cs="Calibri"/>
        </w:rPr>
        <w:t>This process ensures that the activities comply with National Environmental Policy Act (</w:t>
      </w:r>
      <w:r w:rsidR="00A17C51">
        <w:rPr>
          <w:rFonts w:ascii="Calibri" w:hAnsi="Calibri" w:cs="Calibri"/>
        </w:rPr>
        <w:t>“</w:t>
      </w:r>
      <w:r w:rsidRPr="00C97D84">
        <w:rPr>
          <w:rFonts w:ascii="Calibri" w:hAnsi="Calibri" w:cs="Calibri"/>
        </w:rPr>
        <w:t>NEPA</w:t>
      </w:r>
      <w:r w:rsidR="00A17C51">
        <w:rPr>
          <w:rFonts w:ascii="Calibri" w:hAnsi="Calibri" w:cs="Calibri"/>
        </w:rPr>
        <w:t>”</w:t>
      </w:r>
      <w:r w:rsidRPr="00C97D84">
        <w:rPr>
          <w:rFonts w:ascii="Calibri" w:hAnsi="Calibri" w:cs="Calibri"/>
        </w:rPr>
        <w:t xml:space="preserve">) and other applicable state and federal laws. </w:t>
      </w:r>
    </w:p>
    <w:p w14:paraId="2A9E4FB5" w14:textId="77777777" w:rsidR="00034361" w:rsidRPr="00C97D84" w:rsidRDefault="00034361" w:rsidP="000307CA">
      <w:pPr>
        <w:pStyle w:val="NormalWeb"/>
        <w:spacing w:before="0" w:beforeAutospacing="0" w:after="0" w:afterAutospacing="0"/>
        <w:rPr>
          <w:rFonts w:ascii="Calibri" w:hAnsi="Calibri" w:cs="Calibri"/>
          <w:bCs/>
          <w:i/>
        </w:rPr>
      </w:pPr>
    </w:p>
    <w:p w14:paraId="16649E82" w14:textId="17C97717" w:rsidR="00034361" w:rsidRPr="00C97D84" w:rsidRDefault="00034361" w:rsidP="000307CA">
      <w:pPr>
        <w:pStyle w:val="NormalWeb"/>
        <w:spacing w:before="0" w:beforeAutospacing="0" w:after="0" w:afterAutospacing="0"/>
        <w:rPr>
          <w:rFonts w:ascii="Calibri" w:hAnsi="Calibri" w:cs="Calibri"/>
        </w:rPr>
      </w:pPr>
      <w:r w:rsidRPr="00C97D84">
        <w:rPr>
          <w:rFonts w:ascii="Calibri" w:hAnsi="Calibri" w:cs="Calibri"/>
          <w:bCs/>
          <w:i/>
        </w:rPr>
        <w:t>Event</w:t>
      </w:r>
      <w:r w:rsidRPr="00C97D84">
        <w:rPr>
          <w:rFonts w:ascii="Calibri" w:hAnsi="Calibri" w:cs="Calibri"/>
          <w:bCs/>
        </w:rPr>
        <w:t>:</w:t>
      </w:r>
      <w:r>
        <w:rPr>
          <w:rFonts w:ascii="Calibri" w:hAnsi="Calibri" w:cs="Calibri"/>
          <w:bCs/>
        </w:rPr>
        <w:t xml:space="preserve"> </w:t>
      </w:r>
      <w:r w:rsidRPr="00C97D84">
        <w:rPr>
          <w:rFonts w:ascii="Calibri" w:hAnsi="Calibri" w:cs="Calibri"/>
        </w:rPr>
        <w:t xml:space="preserve">The Presidentially declared </w:t>
      </w:r>
      <w:r w:rsidR="00D74F5A">
        <w:rPr>
          <w:rFonts w:ascii="Calibri" w:hAnsi="Calibri" w:cs="Calibri"/>
        </w:rPr>
        <w:t>natural disaster</w:t>
      </w:r>
      <w:r w:rsidRPr="00C97D84">
        <w:rPr>
          <w:rFonts w:ascii="Calibri" w:hAnsi="Calibri" w:cs="Calibri"/>
        </w:rPr>
        <w:t xml:space="preserve">, and subsequent flooding, disaster event. </w:t>
      </w:r>
    </w:p>
    <w:p w14:paraId="43863B50" w14:textId="191C3F61" w:rsidR="00034361" w:rsidRPr="00C97D84" w:rsidRDefault="00034361" w:rsidP="000307CA">
      <w:pPr>
        <w:pStyle w:val="NormalWeb"/>
        <w:spacing w:before="0" w:beforeAutospacing="0" w:after="0" w:afterAutospacing="0"/>
        <w:rPr>
          <w:rFonts w:ascii="Calibri" w:hAnsi="Calibri" w:cs="Calibri"/>
        </w:rPr>
      </w:pPr>
    </w:p>
    <w:p w14:paraId="0F9E460E" w14:textId="77777777" w:rsidR="00034361" w:rsidRPr="00C97D84" w:rsidRDefault="00034361" w:rsidP="000307CA">
      <w:pPr>
        <w:pStyle w:val="NormalWeb"/>
        <w:spacing w:before="0" w:beforeAutospacing="0" w:after="0" w:afterAutospacing="0"/>
        <w:rPr>
          <w:rFonts w:ascii="Calibri" w:hAnsi="Calibri" w:cs="Calibri"/>
        </w:rPr>
      </w:pPr>
      <w:r w:rsidRPr="00C97D84">
        <w:rPr>
          <w:rFonts w:ascii="Calibri" w:hAnsi="Calibri" w:cs="Calibri"/>
          <w:bCs/>
          <w:i/>
        </w:rPr>
        <w:t>Flood Hazard Area</w:t>
      </w:r>
      <w:r w:rsidRPr="00C97D84">
        <w:rPr>
          <w:rFonts w:ascii="Calibri" w:hAnsi="Calibri" w:cs="Calibri"/>
          <w:bCs/>
        </w:rPr>
        <w:t>:</w:t>
      </w:r>
      <w:r>
        <w:rPr>
          <w:rFonts w:ascii="Calibri" w:hAnsi="Calibri" w:cs="Calibri"/>
          <w:bCs/>
        </w:rPr>
        <w:t xml:space="preserve"> </w:t>
      </w:r>
      <w:r w:rsidRPr="00C97D84">
        <w:rPr>
          <w:rFonts w:ascii="Calibri" w:hAnsi="Calibri" w:cs="Calibri"/>
        </w:rPr>
        <w:t xml:space="preserve">Areas designated by FEMA as having risk of flooding. </w:t>
      </w:r>
    </w:p>
    <w:p w14:paraId="42DEB184" w14:textId="301D18AF" w:rsidR="00034361" w:rsidRPr="00C97D84" w:rsidRDefault="00034361" w:rsidP="000307CA">
      <w:pPr>
        <w:pStyle w:val="NormalWeb"/>
        <w:spacing w:before="0" w:beforeAutospacing="0" w:after="0" w:afterAutospacing="0"/>
        <w:rPr>
          <w:rFonts w:ascii="Calibri" w:hAnsi="Calibri" w:cs="Calibri"/>
        </w:rPr>
      </w:pPr>
    </w:p>
    <w:p w14:paraId="744D002C" w14:textId="77777777" w:rsidR="00034361" w:rsidRPr="00C97D84" w:rsidRDefault="00034361" w:rsidP="000307CA">
      <w:pPr>
        <w:pStyle w:val="NormalWeb"/>
        <w:spacing w:before="0" w:beforeAutospacing="0" w:after="0" w:afterAutospacing="0"/>
        <w:rPr>
          <w:rFonts w:ascii="Calibri" w:hAnsi="Calibri" w:cs="Calibri"/>
        </w:rPr>
      </w:pPr>
      <w:r w:rsidRPr="00C97D84">
        <w:rPr>
          <w:rFonts w:ascii="Calibri" w:hAnsi="Calibri" w:cs="Calibri"/>
          <w:bCs/>
          <w:i/>
        </w:rPr>
        <w:t>Floodplain</w:t>
      </w:r>
      <w:r w:rsidRPr="00C97D84">
        <w:rPr>
          <w:rFonts w:ascii="Calibri" w:hAnsi="Calibri" w:cs="Calibri"/>
          <w:bCs/>
        </w:rPr>
        <w:t>:</w:t>
      </w:r>
      <w:r>
        <w:rPr>
          <w:rFonts w:ascii="Calibri" w:hAnsi="Calibri" w:cs="Calibri"/>
          <w:bCs/>
        </w:rPr>
        <w:t xml:space="preserve"> </w:t>
      </w:r>
      <w:r w:rsidRPr="00C97D84">
        <w:rPr>
          <w:rFonts w:ascii="Calibri" w:hAnsi="Calibri" w:cs="Calibri"/>
        </w:rPr>
        <w:t>FEMA designates floodplains as geographic zones subject to varying levels of flood risk.</w:t>
      </w:r>
      <w:r>
        <w:rPr>
          <w:rFonts w:ascii="Calibri" w:hAnsi="Calibri" w:cs="Calibri"/>
        </w:rPr>
        <w:t xml:space="preserve"> </w:t>
      </w:r>
      <w:r w:rsidRPr="00C97D84">
        <w:rPr>
          <w:rFonts w:ascii="Calibri" w:hAnsi="Calibri" w:cs="Calibri"/>
        </w:rPr>
        <w:t xml:space="preserve">Each zone reflects the severity or type of potential flooding in the area. </w:t>
      </w:r>
    </w:p>
    <w:p w14:paraId="490C956A" w14:textId="77777777" w:rsidR="00034361" w:rsidRPr="00C97D84" w:rsidRDefault="00034361" w:rsidP="00E14863">
      <w:pPr>
        <w:pStyle w:val="NormalWeb"/>
        <w:numPr>
          <w:ilvl w:val="0"/>
          <w:numId w:val="8"/>
        </w:numPr>
        <w:spacing w:before="0" w:beforeAutospacing="0" w:after="0" w:afterAutospacing="0"/>
        <w:rPr>
          <w:rFonts w:ascii="Calibri" w:hAnsi="Calibri" w:cs="Calibri"/>
        </w:rPr>
      </w:pPr>
      <w:r w:rsidRPr="00C97D84">
        <w:rPr>
          <w:rFonts w:ascii="Calibri" w:hAnsi="Calibri" w:cs="Calibri"/>
        </w:rPr>
        <w:lastRenderedPageBreak/>
        <w:t xml:space="preserve">“100-year floodplain” — the geographical area defined by FEMA as having a one percent chance of being inundated by a flooding event in any given year. </w:t>
      </w:r>
    </w:p>
    <w:p w14:paraId="02CCE00C" w14:textId="77777777" w:rsidR="00034361" w:rsidRPr="00C97D84" w:rsidRDefault="00034361" w:rsidP="00E14863">
      <w:pPr>
        <w:pStyle w:val="NormalWeb"/>
        <w:numPr>
          <w:ilvl w:val="0"/>
          <w:numId w:val="8"/>
        </w:numPr>
        <w:spacing w:before="0" w:beforeAutospacing="0" w:after="0" w:afterAutospacing="0"/>
        <w:rPr>
          <w:rFonts w:ascii="Calibri" w:hAnsi="Calibri" w:cs="Calibri"/>
        </w:rPr>
      </w:pPr>
      <w:r w:rsidRPr="00C97D84">
        <w:rPr>
          <w:rFonts w:ascii="Calibri" w:hAnsi="Calibri" w:cs="Calibri"/>
        </w:rPr>
        <w:t xml:space="preserve">“500-year floodplain” — the geographic area defined by FEMA as having a 0.2 percent change of being inundated by a flooding event in any given year. </w:t>
      </w:r>
    </w:p>
    <w:p w14:paraId="08BBEC5A" w14:textId="77777777" w:rsidR="00034361" w:rsidRPr="00C97D84" w:rsidRDefault="00034361" w:rsidP="000307CA">
      <w:pPr>
        <w:pStyle w:val="NormalWeb"/>
        <w:spacing w:before="0" w:beforeAutospacing="0" w:after="0" w:afterAutospacing="0"/>
        <w:contextualSpacing/>
        <w:rPr>
          <w:rFonts w:ascii="Calibri" w:hAnsi="Calibri" w:cs="Calibri"/>
          <w:bCs/>
          <w:i/>
        </w:rPr>
      </w:pPr>
    </w:p>
    <w:p w14:paraId="2C66F0D2" w14:textId="77777777" w:rsidR="00034361" w:rsidRPr="00C97D84" w:rsidRDefault="00034361" w:rsidP="000307CA">
      <w:pPr>
        <w:pStyle w:val="NormalWeb"/>
        <w:spacing w:before="0" w:beforeAutospacing="0" w:after="0" w:afterAutospacing="0"/>
        <w:contextualSpacing/>
        <w:rPr>
          <w:rFonts w:ascii="Calibri" w:hAnsi="Calibri" w:cs="Calibri"/>
          <w:bCs/>
          <w:i/>
        </w:rPr>
      </w:pPr>
      <w:r w:rsidRPr="00C97D84">
        <w:rPr>
          <w:rFonts w:ascii="Calibri" w:hAnsi="Calibri" w:cs="Calibri"/>
          <w:bCs/>
          <w:i/>
        </w:rPr>
        <w:t>Floodway</w:t>
      </w:r>
      <w:r w:rsidRPr="00C97D84">
        <w:rPr>
          <w:rFonts w:ascii="Calibri" w:hAnsi="Calibri" w:cs="Calibri"/>
          <w:bCs/>
        </w:rPr>
        <w:t>:</w:t>
      </w:r>
      <w:r>
        <w:rPr>
          <w:rFonts w:ascii="Calibri" w:hAnsi="Calibri" w:cs="Calibri"/>
          <w:bCs/>
        </w:rPr>
        <w:t xml:space="preserve"> </w:t>
      </w:r>
      <w:r w:rsidRPr="00C97D84">
        <w:rPr>
          <w:rFonts w:ascii="Calibri" w:hAnsi="Calibri" w:cs="Calibri"/>
        </w:rPr>
        <w:t>FEMA designated</w:t>
      </w:r>
      <w:r w:rsidRPr="00C97D84">
        <w:rPr>
          <w:rFonts w:ascii="Calibri" w:hAnsi="Calibri"/>
        </w:rPr>
        <w:t xml:space="preserve"> </w:t>
      </w:r>
      <w:r w:rsidRPr="00C97D84">
        <w:rPr>
          <w:rFonts w:ascii="Calibri" w:hAnsi="Calibri" w:cs="Calibri"/>
        </w:rPr>
        <w:t>channel of a river or other watercourse and the adjacent land areas that must be reserved in order to discharge the base flood without cumulatively increasing the water surface elevation more than a designated height.</w:t>
      </w:r>
    </w:p>
    <w:p w14:paraId="043174A3" w14:textId="77777777" w:rsidR="00034361" w:rsidRPr="00C97D84" w:rsidRDefault="00034361" w:rsidP="000307CA">
      <w:pPr>
        <w:pStyle w:val="NormalWeb"/>
        <w:spacing w:before="0" w:beforeAutospacing="0" w:after="0" w:afterAutospacing="0"/>
        <w:contextualSpacing/>
        <w:rPr>
          <w:rFonts w:ascii="Calibri" w:hAnsi="Calibri" w:cs="Calibri"/>
          <w:bCs/>
          <w:i/>
        </w:rPr>
      </w:pPr>
    </w:p>
    <w:p w14:paraId="785438F6" w14:textId="65538043" w:rsidR="00034361" w:rsidRPr="00C97D84" w:rsidRDefault="00034361" w:rsidP="000307CA">
      <w:pPr>
        <w:pStyle w:val="NormalWeb"/>
        <w:spacing w:before="0" w:beforeAutospacing="0" w:after="0" w:afterAutospacing="0"/>
        <w:contextualSpacing/>
        <w:rPr>
          <w:rFonts w:ascii="Calibri" w:hAnsi="Calibri" w:cs="Calibri"/>
          <w:bCs/>
        </w:rPr>
      </w:pPr>
      <w:r w:rsidRPr="00C97D84">
        <w:rPr>
          <w:rFonts w:ascii="Calibri" w:hAnsi="Calibri" w:cs="Calibri"/>
          <w:bCs/>
          <w:i/>
        </w:rPr>
        <w:t>General Land Office (</w:t>
      </w:r>
      <w:r w:rsidR="00A17C51">
        <w:rPr>
          <w:rFonts w:ascii="Calibri" w:hAnsi="Calibri" w:cs="Calibri"/>
          <w:bCs/>
          <w:i/>
        </w:rPr>
        <w:t>“</w:t>
      </w:r>
      <w:r w:rsidRPr="00C97D84">
        <w:rPr>
          <w:rFonts w:ascii="Calibri" w:hAnsi="Calibri" w:cs="Calibri"/>
          <w:bCs/>
          <w:i/>
        </w:rPr>
        <w:t>GLO</w:t>
      </w:r>
      <w:r w:rsidR="00A17C51">
        <w:rPr>
          <w:rFonts w:ascii="Calibri" w:hAnsi="Calibri" w:cs="Calibri"/>
          <w:bCs/>
          <w:i/>
        </w:rPr>
        <w:t>”</w:t>
      </w:r>
      <w:r w:rsidRPr="00C97D84">
        <w:rPr>
          <w:rFonts w:ascii="Calibri" w:hAnsi="Calibri" w:cs="Calibri"/>
          <w:bCs/>
          <w:i/>
        </w:rPr>
        <w:t>):</w:t>
      </w:r>
      <w:r>
        <w:rPr>
          <w:rFonts w:ascii="Calibri" w:hAnsi="Calibri" w:cs="Calibri"/>
          <w:bCs/>
        </w:rPr>
        <w:t xml:space="preserve"> </w:t>
      </w:r>
      <w:r w:rsidRPr="00C97D84">
        <w:rPr>
          <w:rFonts w:ascii="Calibri" w:hAnsi="Calibri" w:cs="Calibri"/>
          <w:bCs/>
        </w:rPr>
        <w:t>The Texas General Land Office is the lead agency for managing the State’s Community Development Block Grant – Disaster Recovery grants.</w:t>
      </w:r>
    </w:p>
    <w:p w14:paraId="521A3036" w14:textId="77777777" w:rsidR="00034361" w:rsidRPr="00C97D84" w:rsidRDefault="00034361" w:rsidP="000307CA">
      <w:pPr>
        <w:pStyle w:val="NormalWeb"/>
        <w:spacing w:before="0" w:beforeAutospacing="0" w:after="0" w:afterAutospacing="0"/>
        <w:contextualSpacing/>
        <w:rPr>
          <w:rFonts w:ascii="Calibri" w:hAnsi="Calibri" w:cs="Calibri"/>
        </w:rPr>
      </w:pPr>
      <w:r w:rsidRPr="00C97D84">
        <w:rPr>
          <w:rFonts w:ascii="Calibri" w:hAnsi="Calibri" w:cs="Calibri"/>
          <w:bCs/>
        </w:rPr>
        <w:br/>
      </w:r>
      <w:r w:rsidRPr="00C97D84">
        <w:rPr>
          <w:rFonts w:ascii="Calibri" w:hAnsi="Calibri" w:cs="Calibri"/>
          <w:bCs/>
          <w:i/>
        </w:rPr>
        <w:t>Grant Agreement</w:t>
      </w:r>
      <w:r w:rsidRPr="00C97D84">
        <w:rPr>
          <w:rFonts w:ascii="Calibri" w:hAnsi="Calibri" w:cs="Calibri"/>
          <w:bCs/>
        </w:rPr>
        <w:t>:</w:t>
      </w:r>
      <w:r>
        <w:rPr>
          <w:rFonts w:ascii="Calibri" w:hAnsi="Calibri" w:cs="Calibri"/>
          <w:bCs/>
        </w:rPr>
        <w:t xml:space="preserve"> </w:t>
      </w:r>
      <w:r w:rsidRPr="00C97D84">
        <w:rPr>
          <w:rFonts w:ascii="Calibri" w:hAnsi="Calibri" w:cs="Calibri"/>
        </w:rPr>
        <w:t xml:space="preserve">A funding agreement detailing eligible program costs and project-specific award agreements between HUD and the GLO, including regulatory provisions, certifications, and requirements. </w:t>
      </w:r>
    </w:p>
    <w:p w14:paraId="753325E5" w14:textId="3384CE3E" w:rsidR="00034361" w:rsidRPr="00C97D84" w:rsidRDefault="00034361" w:rsidP="000307CA">
      <w:pPr>
        <w:pStyle w:val="NormalWeb"/>
        <w:spacing w:before="0" w:beforeAutospacing="0" w:after="0" w:afterAutospacing="0"/>
        <w:contextualSpacing/>
        <w:rPr>
          <w:rFonts w:ascii="Calibri" w:hAnsi="Calibri" w:cs="Calibri"/>
        </w:rPr>
      </w:pPr>
    </w:p>
    <w:p w14:paraId="4641CA1C" w14:textId="3A03D22F" w:rsidR="00034361" w:rsidRPr="00C97D84" w:rsidRDefault="00034361" w:rsidP="000307CA">
      <w:pPr>
        <w:pStyle w:val="NormalWeb"/>
        <w:spacing w:before="0" w:beforeAutospacing="0" w:after="0" w:afterAutospacing="0"/>
        <w:contextualSpacing/>
        <w:rPr>
          <w:rFonts w:ascii="Calibri" w:hAnsi="Calibri" w:cs="Calibri"/>
        </w:rPr>
      </w:pPr>
      <w:r w:rsidRPr="00C97D84">
        <w:rPr>
          <w:rFonts w:ascii="Calibri" w:hAnsi="Calibri" w:cs="Calibri"/>
          <w:bCs/>
          <w:i/>
        </w:rPr>
        <w:t>Housing Unit</w:t>
      </w:r>
      <w:r w:rsidRPr="00C97D84">
        <w:rPr>
          <w:rFonts w:ascii="Calibri" w:hAnsi="Calibri" w:cs="Calibri"/>
          <w:bCs/>
        </w:rPr>
        <w:t xml:space="preserve">: </w:t>
      </w:r>
      <w:r w:rsidRPr="00C97D84">
        <w:rPr>
          <w:rFonts w:ascii="Calibri" w:hAnsi="Calibri" w:cs="Calibri"/>
        </w:rPr>
        <w:t xml:space="preserve">(used interchangeably) apartment, group of rooms, or single room occupied or intended for occupancy as separate living quarters. </w:t>
      </w:r>
    </w:p>
    <w:p w14:paraId="270E927C" w14:textId="77777777" w:rsidR="00034361" w:rsidRPr="00C97D84" w:rsidRDefault="00034361" w:rsidP="000307CA">
      <w:pPr>
        <w:pStyle w:val="NormalWeb"/>
        <w:spacing w:before="0" w:beforeAutospacing="0" w:after="0" w:afterAutospacing="0"/>
        <w:contextualSpacing/>
        <w:rPr>
          <w:rFonts w:ascii="Calibri" w:hAnsi="Calibri" w:cs="Calibri"/>
        </w:rPr>
      </w:pPr>
    </w:p>
    <w:p w14:paraId="751653B8" w14:textId="77777777" w:rsidR="00034361" w:rsidRPr="00C97D84" w:rsidRDefault="00034361" w:rsidP="000307CA">
      <w:pPr>
        <w:pStyle w:val="NormalWeb"/>
        <w:spacing w:before="0" w:beforeAutospacing="0" w:after="0" w:afterAutospacing="0"/>
        <w:contextualSpacing/>
        <w:rPr>
          <w:rFonts w:ascii="Calibri" w:hAnsi="Calibri" w:cs="Calibri"/>
          <w:position w:val="10"/>
        </w:rPr>
      </w:pPr>
      <w:r w:rsidRPr="00C97D84">
        <w:rPr>
          <w:rFonts w:ascii="Calibri" w:hAnsi="Calibri" w:cs="Calibri"/>
          <w:bCs/>
          <w:i/>
        </w:rPr>
        <w:t>Housing and Urban Development Act of 1968, Section 3:</w:t>
      </w:r>
      <w:r>
        <w:rPr>
          <w:rFonts w:ascii="Calibri" w:hAnsi="Calibri" w:cs="Calibri"/>
          <w:bCs/>
        </w:rPr>
        <w:t xml:space="preserve"> </w:t>
      </w:r>
      <w:r w:rsidRPr="00C97D84">
        <w:rPr>
          <w:rFonts w:ascii="Calibri" w:hAnsi="Calibri" w:cs="Calibri"/>
        </w:rPr>
        <w:t>Requires program administrators ensure that training, employment, and other economic opportunities generated by HUD financial assistance shall be directed to the greatest extent feasible and consistent with existing federal, state, and local laws and regulations, to low- and very low-income persons.</w:t>
      </w:r>
      <w:r>
        <w:rPr>
          <w:rFonts w:ascii="Calibri" w:hAnsi="Calibri" w:cs="Calibri"/>
        </w:rPr>
        <w:t xml:space="preserve"> </w:t>
      </w:r>
      <w:r w:rsidRPr="00C97D84">
        <w:rPr>
          <w:rFonts w:ascii="Calibri" w:hAnsi="Calibri" w:cs="Calibri"/>
        </w:rPr>
        <w:t>Recipients of Section 3-covered funding ensure compliance and the compliance of their contractors/subcontractors with the Section 3 requirements, as outlined in 24 CFR 135.32.</w:t>
      </w:r>
    </w:p>
    <w:p w14:paraId="3BA48029" w14:textId="4BAF30FB" w:rsidR="00034361" w:rsidRPr="00C97D84" w:rsidRDefault="00034361" w:rsidP="000307CA">
      <w:pPr>
        <w:pStyle w:val="NormalWeb"/>
        <w:spacing w:before="0" w:beforeAutospacing="0" w:after="0" w:afterAutospacing="0"/>
        <w:rPr>
          <w:rFonts w:ascii="Calibri" w:hAnsi="Calibri" w:cs="Calibri"/>
          <w:bCs/>
          <w:i/>
        </w:rPr>
      </w:pPr>
    </w:p>
    <w:p w14:paraId="30D57B96" w14:textId="77777777" w:rsidR="00034361" w:rsidRPr="00C97D84" w:rsidRDefault="00034361" w:rsidP="000307CA">
      <w:pPr>
        <w:pStyle w:val="NormalWeb"/>
        <w:spacing w:before="0" w:beforeAutospacing="0" w:after="0" w:afterAutospacing="0"/>
        <w:rPr>
          <w:rFonts w:ascii="Calibri" w:hAnsi="Calibri" w:cs="Calibri"/>
        </w:rPr>
      </w:pPr>
      <w:r w:rsidRPr="00C97D84">
        <w:rPr>
          <w:rFonts w:ascii="Calibri" w:hAnsi="Calibri" w:cs="Calibri"/>
          <w:bCs/>
          <w:i/>
        </w:rPr>
        <w:t>Multifamily Rental</w:t>
      </w:r>
      <w:r w:rsidRPr="00C97D84">
        <w:rPr>
          <w:rFonts w:ascii="Calibri" w:hAnsi="Calibri" w:cs="Calibri"/>
          <w:bCs/>
        </w:rPr>
        <w:t>:</w:t>
      </w:r>
      <w:r>
        <w:rPr>
          <w:rFonts w:ascii="Calibri" w:hAnsi="Calibri" w:cs="Calibri"/>
          <w:bCs/>
        </w:rPr>
        <w:t xml:space="preserve"> </w:t>
      </w:r>
      <w:r w:rsidRPr="00C97D84">
        <w:rPr>
          <w:rFonts w:ascii="Calibri" w:hAnsi="Calibri" w:cs="Calibri"/>
        </w:rPr>
        <w:t xml:space="preserve">Eight or more rental units in the property. </w:t>
      </w:r>
    </w:p>
    <w:p w14:paraId="08F30967" w14:textId="77777777" w:rsidR="00034361" w:rsidRPr="00C97D84" w:rsidRDefault="00034361" w:rsidP="000307CA">
      <w:pPr>
        <w:pStyle w:val="NormalWeb"/>
        <w:spacing w:before="0" w:beforeAutospacing="0" w:after="0" w:afterAutospacing="0"/>
        <w:rPr>
          <w:rFonts w:ascii="Calibri" w:hAnsi="Calibri" w:cs="Calibri"/>
        </w:rPr>
      </w:pPr>
    </w:p>
    <w:p w14:paraId="0705D4E5" w14:textId="07A7037E" w:rsidR="00034361" w:rsidRPr="00C97D84" w:rsidRDefault="00034361" w:rsidP="000307CA">
      <w:pPr>
        <w:pStyle w:val="NormalWeb"/>
        <w:spacing w:before="0" w:beforeAutospacing="0" w:after="0" w:afterAutospacing="0"/>
        <w:rPr>
          <w:rFonts w:ascii="Calibri" w:hAnsi="Calibri" w:cs="Calibri"/>
        </w:rPr>
      </w:pPr>
      <w:r w:rsidRPr="00C97D84">
        <w:rPr>
          <w:rFonts w:ascii="Calibri" w:hAnsi="Calibri" w:cs="Calibri"/>
          <w:bCs/>
          <w:i/>
        </w:rPr>
        <w:t xml:space="preserve">Uniform Relocation Assistance and Real Property Acquisitions Policies Act of 1970, as amended (Title 49 </w:t>
      </w:r>
      <w:r w:rsidR="00636655">
        <w:rPr>
          <w:rFonts w:ascii="Calibri" w:hAnsi="Calibri" w:cs="Calibri"/>
          <w:bCs/>
          <w:i/>
        </w:rPr>
        <w:t>C.F.R.</w:t>
      </w:r>
      <w:r w:rsidRPr="00C97D84">
        <w:rPr>
          <w:rFonts w:ascii="Calibri" w:hAnsi="Calibri" w:cs="Calibri"/>
          <w:bCs/>
          <w:i/>
        </w:rPr>
        <w:t xml:space="preserve"> Part 24) (42 U.S.C. 4601 et seq.) (URA)</w:t>
      </w:r>
      <w:r w:rsidR="00BE5E82">
        <w:rPr>
          <w:rFonts w:eastAsia="Times New Roman"/>
        </w:rPr>
        <w:t>: A cross-cutting federal law established minimum standards for real property acquisition and relocation assistance for federally-funded programs and projects. Congress created the URA to address the impact of federally-funded public improvement projects on people. HUD commonly refers o the law as the URA.</w:t>
      </w:r>
    </w:p>
    <w:p w14:paraId="0D7FC779" w14:textId="77777777" w:rsidR="00034361" w:rsidRPr="00C97D84" w:rsidRDefault="00034361" w:rsidP="000307CA">
      <w:pPr>
        <w:pStyle w:val="NormalWeb"/>
        <w:spacing w:before="0" w:beforeAutospacing="0" w:after="0" w:afterAutospacing="0"/>
        <w:rPr>
          <w:rFonts w:ascii="Calibri" w:hAnsi="Calibri" w:cs="Calibri"/>
          <w:bCs/>
          <w:i/>
        </w:rPr>
      </w:pPr>
    </w:p>
    <w:p w14:paraId="3ECA4402" w14:textId="7A143569" w:rsidR="00A94AAB" w:rsidRPr="006460DD" w:rsidRDefault="00034361" w:rsidP="006460DD">
      <w:pPr>
        <w:pStyle w:val="NormalWeb"/>
        <w:spacing w:before="0" w:beforeAutospacing="0" w:after="0" w:afterAutospacing="0"/>
        <w:contextualSpacing/>
        <w:rPr>
          <w:rFonts w:ascii="Calibri" w:hAnsi="Calibri" w:cs="Calibri"/>
          <w:bCs/>
          <w:i/>
        </w:rPr>
      </w:pPr>
      <w:r w:rsidRPr="00C97D84">
        <w:rPr>
          <w:rFonts w:ascii="Calibri" w:hAnsi="Calibri" w:cs="Calibri"/>
          <w:bCs/>
          <w:i/>
        </w:rPr>
        <w:t>Vendor</w:t>
      </w:r>
      <w:r w:rsidRPr="006460DD">
        <w:rPr>
          <w:rFonts w:ascii="Calibri" w:hAnsi="Calibri" w:cs="Calibri"/>
          <w:bCs/>
          <w:i/>
        </w:rPr>
        <w:t>: Vendors and private grant administrators procured by the city or contractors to provide supplies, equipment, or services necessary to implement the Program and to serve program needs. Upon approval, the vendor may implement the Program or act on behalf of the City.</w:t>
      </w:r>
    </w:p>
    <w:bookmarkEnd w:id="0"/>
    <w:p w14:paraId="709FDB9D" w14:textId="77777777" w:rsidR="00B41B6E" w:rsidRDefault="00B41B6E" w:rsidP="000307CA">
      <w:pPr>
        <w:spacing w:after="0" w:line="240" w:lineRule="auto"/>
      </w:pPr>
    </w:p>
    <w:sectPr w:rsidR="00B41B6E" w:rsidSect="00852AD0">
      <w:headerReference w:type="even" r:id="rId26"/>
      <w:headerReference w:type="default" r:id="rId27"/>
      <w:footerReference w:type="even" r:id="rId28"/>
      <w:footerReference w:type="default" r:id="rId29"/>
      <w:footerReference w:type="first" r:id="rId30"/>
      <w:pgSz w:w="12240" w:h="15840"/>
      <w:pgMar w:top="1440" w:right="1008" w:bottom="144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44779" w14:textId="77777777" w:rsidR="00FD76D6" w:rsidRDefault="00FD76D6" w:rsidP="00A94AAB">
      <w:pPr>
        <w:spacing w:after="0" w:line="240" w:lineRule="auto"/>
      </w:pPr>
      <w:r>
        <w:separator/>
      </w:r>
    </w:p>
  </w:endnote>
  <w:endnote w:type="continuationSeparator" w:id="0">
    <w:p w14:paraId="3625A70D" w14:textId="77777777" w:rsidR="00FD76D6" w:rsidRDefault="00FD76D6" w:rsidP="00A94AAB">
      <w:pPr>
        <w:spacing w:after="0" w:line="240" w:lineRule="auto"/>
      </w:pPr>
      <w:r>
        <w:continuationSeparator/>
      </w:r>
    </w:p>
  </w:endnote>
  <w:endnote w:type="continuationNotice" w:id="1">
    <w:p w14:paraId="0B88B6C5" w14:textId="77777777" w:rsidR="00FD76D6" w:rsidRDefault="00FD7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7266642"/>
      <w:docPartObj>
        <w:docPartGallery w:val="Page Numbers (Bottom of Page)"/>
        <w:docPartUnique/>
      </w:docPartObj>
    </w:sdtPr>
    <w:sdtEndPr>
      <w:rPr>
        <w:rStyle w:val="PageNumber"/>
      </w:rPr>
    </w:sdtEndPr>
    <w:sdtContent>
      <w:p w14:paraId="6D1DF588" w14:textId="77777777" w:rsidR="007E6B2D" w:rsidRDefault="007E6B2D" w:rsidP="00A94AA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616169" w14:textId="77777777" w:rsidR="007E6B2D" w:rsidRDefault="007E6B2D" w:rsidP="00A94AA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rPr>
      <w:id w:val="-1027403824"/>
      <w:docPartObj>
        <w:docPartGallery w:val="Page Numbers (Bottom of Page)"/>
        <w:docPartUnique/>
      </w:docPartObj>
    </w:sdtPr>
    <w:sdtEndPr>
      <w:rPr>
        <w:rStyle w:val="PageNumber"/>
      </w:rPr>
    </w:sdtEndPr>
    <w:sdtContent>
      <w:p w14:paraId="3B1866FB" w14:textId="77777777" w:rsidR="007E6B2D" w:rsidRPr="00C97D84" w:rsidRDefault="007E6B2D" w:rsidP="00A94AAB">
        <w:pPr>
          <w:pStyle w:val="Footer"/>
          <w:framePr w:wrap="none" w:vAnchor="text" w:hAnchor="margin" w:y="1"/>
          <w:rPr>
            <w:rStyle w:val="PageNumber"/>
            <w:rFonts w:ascii="Calibri" w:hAnsi="Calibri"/>
          </w:rPr>
        </w:pPr>
        <w:r w:rsidRPr="00C97D84">
          <w:rPr>
            <w:rStyle w:val="PageNumber"/>
            <w:rFonts w:ascii="Calibri" w:hAnsi="Calibri"/>
          </w:rPr>
          <w:fldChar w:fldCharType="begin"/>
        </w:r>
        <w:r w:rsidRPr="00C97D84">
          <w:rPr>
            <w:rStyle w:val="PageNumber"/>
            <w:rFonts w:ascii="Calibri" w:hAnsi="Calibri"/>
          </w:rPr>
          <w:instrText xml:space="preserve"> PAGE </w:instrText>
        </w:r>
        <w:r w:rsidRPr="00C97D84">
          <w:rPr>
            <w:rStyle w:val="PageNumber"/>
            <w:rFonts w:ascii="Calibri" w:hAnsi="Calibri"/>
          </w:rPr>
          <w:fldChar w:fldCharType="separate"/>
        </w:r>
        <w:r w:rsidRPr="00C97D84">
          <w:rPr>
            <w:rStyle w:val="PageNumber"/>
            <w:rFonts w:ascii="Calibri" w:hAnsi="Calibri"/>
            <w:noProof/>
          </w:rPr>
          <w:t>20</w:t>
        </w:r>
        <w:r w:rsidRPr="00C97D84">
          <w:rPr>
            <w:rStyle w:val="PageNumber"/>
            <w:rFonts w:ascii="Calibri" w:hAnsi="Calibri"/>
          </w:rPr>
          <w:fldChar w:fldCharType="end"/>
        </w:r>
      </w:p>
    </w:sdtContent>
  </w:sdt>
  <w:p w14:paraId="32336F72" w14:textId="785753AE" w:rsidR="007E6B2D" w:rsidRPr="00A94AAB" w:rsidRDefault="007E6B2D" w:rsidP="00A94AAB">
    <w:pPr>
      <w:pStyle w:val="Footer"/>
      <w:tabs>
        <w:tab w:val="clear" w:pos="4680"/>
        <w:tab w:val="clear" w:pos="9360"/>
      </w:tabs>
      <w:jc w:val="right"/>
      <w:rPr>
        <w:rFonts w:ascii="Times New Roman" w:hAnsi="Times New Roman" w:cs="Times New Roman"/>
        <w:i/>
        <w:sz w:val="18"/>
      </w:rPr>
    </w:pPr>
    <w:r>
      <w:tab/>
    </w:r>
    <w:r>
      <w:tab/>
    </w:r>
    <w:r w:rsidRPr="00A94AAB">
      <w:rPr>
        <w:rFonts w:ascii="Times New Roman" w:hAnsi="Times New Roman" w:cs="Times New Roman"/>
        <w:i/>
        <w:color w:val="7F7F7F" w:themeColor="text1" w:themeTint="80"/>
        <w:sz w:val="18"/>
      </w:rPr>
      <w:t xml:space="preserve">Multifamily Voluntary Program Guidelines </w:t>
    </w:r>
    <w:r w:rsidRPr="00F628CD">
      <w:rPr>
        <w:rFonts w:ascii="Times New Roman" w:hAnsi="Times New Roman" w:cs="Times New Roman"/>
        <w:i/>
        <w:color w:val="7F7F7F" w:themeColor="text1" w:themeTint="80"/>
        <w:sz w:val="18"/>
      </w:rPr>
      <w:t>(DR-16)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E833" w14:textId="77777777" w:rsidR="007E6B2D" w:rsidRPr="00C97D84" w:rsidRDefault="007E6B2D" w:rsidP="00A94AAB">
    <w:pPr>
      <w:pStyle w:val="Footer"/>
      <w:jc w:val="right"/>
      <w:rPr>
        <w:rFonts w:ascii="Calibri" w:hAnsi="Calibri"/>
      </w:rPr>
    </w:pPr>
    <w:r>
      <w:rPr>
        <w:rFonts w:ascii="Calibri" w:hAnsi="Calibri"/>
      </w:rPr>
      <w:t>3.27.19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B5D57" w14:textId="77777777" w:rsidR="00FD76D6" w:rsidRDefault="00FD76D6" w:rsidP="00A94AAB">
      <w:pPr>
        <w:spacing w:after="0" w:line="240" w:lineRule="auto"/>
      </w:pPr>
      <w:r>
        <w:separator/>
      </w:r>
    </w:p>
  </w:footnote>
  <w:footnote w:type="continuationSeparator" w:id="0">
    <w:p w14:paraId="7EC0461D" w14:textId="77777777" w:rsidR="00FD76D6" w:rsidRDefault="00FD76D6" w:rsidP="00A94AAB">
      <w:pPr>
        <w:spacing w:after="0" w:line="240" w:lineRule="auto"/>
      </w:pPr>
      <w:r>
        <w:continuationSeparator/>
      </w:r>
    </w:p>
  </w:footnote>
  <w:footnote w:type="continuationNotice" w:id="1">
    <w:p w14:paraId="35BDD752" w14:textId="77777777" w:rsidR="00FD76D6" w:rsidRDefault="00FD76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CD03" w14:textId="77777777" w:rsidR="007E6B2D" w:rsidRDefault="007E6B2D">
    <w:pPr>
      <w:pStyle w:val="Header"/>
    </w:pPr>
    <w:r>
      <w:rPr>
        <w:noProof/>
      </w:rPr>
      <mc:AlternateContent>
        <mc:Choice Requires="wps">
          <w:drawing>
            <wp:anchor distT="0" distB="0" distL="114300" distR="114300" simplePos="0" relativeHeight="251657216" behindDoc="1" locked="0" layoutInCell="0" allowOverlap="1" wp14:anchorId="6C353E69" wp14:editId="51A83A54">
              <wp:simplePos x="0" y="0"/>
              <wp:positionH relativeFrom="margin">
                <wp:align>center</wp:align>
              </wp:positionH>
              <wp:positionV relativeFrom="margin">
                <wp:align>center</wp:align>
              </wp:positionV>
              <wp:extent cx="6768465" cy="2256155"/>
              <wp:effectExtent l="0" t="1876425"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2256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E51773" w14:textId="77777777" w:rsidR="007E6B2D" w:rsidRDefault="007E6B2D" w:rsidP="00A94AAB">
                          <w:pPr>
                            <w:pStyle w:val="NormalWeb"/>
                            <w:spacing w:before="0" w:beforeAutospacing="0" w:after="0" w:afterAutospacing="0"/>
                            <w:jc w:val="center"/>
                          </w:pPr>
                          <w:r>
                            <w:rPr>
                              <w:rFonts w:ascii="Calibri Light" w:hAnsi="Calibri Light"/>
                              <w:color w:val="9CC2E5" w:themeColor="accent5" w:themeTint="9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353E69" id="_x0000_t202" coordsize="21600,21600" o:spt="202" path="m,l,21600r21600,l21600,xe">
              <v:stroke joinstyle="miter"/>
              <v:path gradientshapeok="t" o:connecttype="rect"/>
            </v:shapetype>
            <v:shape id="Text Box 1" o:spid="_x0000_s1026" type="#_x0000_t202" style="position:absolute;margin-left:0;margin-top:0;width:532.95pt;height:177.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" o:allowincell="f" filled="f" stroked="f">
              <v:stroke joinstyle="round"/>
              <o:lock v:ext="edit" shapetype="t"/>
              <v:textbox style="mso-fit-shape-to-text:t">
                <w:txbxContent>
                  <w:p w14:paraId="51E51773" w14:textId="77777777" w:rsidR="007E6B2D" w:rsidRDefault="007E6B2D" w:rsidP="00A94AAB">
                    <w:pPr>
                      <w:pStyle w:val="NormalWeb"/>
                      <w:spacing w:before="0" w:beforeAutospacing="0" w:after="0" w:afterAutospacing="0"/>
                      <w:jc w:val="center"/>
                    </w:pPr>
                    <w:r>
                      <w:rPr>
                        <w:rFonts w:ascii="Calibri Light" w:hAnsi="Calibri Light"/>
                        <w:color w:val="9CC2E5" w:themeColor="accent5" w:themeTint="99"/>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859D" w14:textId="7644EB21" w:rsidR="007E6B2D" w:rsidRPr="00C97D84" w:rsidRDefault="007E6B2D" w:rsidP="00A94AAB">
    <w:pPr>
      <w:rPr>
        <w:rFonts w:ascii="Calibri" w:hAnsi="Calibri"/>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715D"/>
    <w:multiLevelType w:val="hybridMultilevel"/>
    <w:tmpl w:val="C63C8374"/>
    <w:lvl w:ilvl="0" w:tplc="4192EF12">
      <w:numFmt w:val="bullet"/>
      <w:lvlText w:val="•"/>
      <w:lvlJc w:val="left"/>
      <w:pPr>
        <w:ind w:left="1140" w:hanging="360"/>
      </w:pPr>
      <w:rPr>
        <w:rFonts w:ascii="Arial" w:eastAsia="Arial" w:hAnsi="Arial" w:cs="Arial" w:hint="default"/>
        <w:w w:val="131"/>
        <w:sz w:val="24"/>
        <w:szCs w:val="24"/>
        <w:lang w:val="en-US" w:eastAsia="en-US" w:bidi="en-US"/>
      </w:rPr>
    </w:lvl>
    <w:lvl w:ilvl="1" w:tplc="98AC89F0">
      <w:numFmt w:val="bullet"/>
      <w:lvlText w:val="•"/>
      <w:lvlJc w:val="left"/>
      <w:pPr>
        <w:ind w:left="1500" w:hanging="360"/>
      </w:pPr>
      <w:rPr>
        <w:rFonts w:asciiTheme="minorHAnsi" w:eastAsia="Times New Roman" w:hAnsiTheme="minorHAnsi" w:cs="Times New Roman" w:hint="default"/>
        <w:spacing w:val="-2"/>
        <w:w w:val="99"/>
        <w:sz w:val="24"/>
        <w:szCs w:val="24"/>
        <w:lang w:val="en-US" w:eastAsia="en-US" w:bidi="en-US"/>
      </w:rPr>
    </w:lvl>
    <w:lvl w:ilvl="2" w:tplc="85C8B05A">
      <w:numFmt w:val="bullet"/>
      <w:lvlText w:val="•"/>
      <w:lvlJc w:val="left"/>
      <w:pPr>
        <w:ind w:left="2551" w:hanging="360"/>
      </w:pPr>
      <w:rPr>
        <w:rFonts w:hint="default"/>
        <w:lang w:val="en-US" w:eastAsia="en-US" w:bidi="en-US"/>
      </w:rPr>
    </w:lvl>
    <w:lvl w:ilvl="3" w:tplc="16F4DC70">
      <w:numFmt w:val="bullet"/>
      <w:lvlText w:val="•"/>
      <w:lvlJc w:val="left"/>
      <w:pPr>
        <w:ind w:left="3602" w:hanging="360"/>
      </w:pPr>
      <w:rPr>
        <w:rFonts w:hint="default"/>
        <w:lang w:val="en-US" w:eastAsia="en-US" w:bidi="en-US"/>
      </w:rPr>
    </w:lvl>
    <w:lvl w:ilvl="4" w:tplc="66065BE6">
      <w:numFmt w:val="bullet"/>
      <w:lvlText w:val="•"/>
      <w:lvlJc w:val="left"/>
      <w:pPr>
        <w:ind w:left="4653" w:hanging="360"/>
      </w:pPr>
      <w:rPr>
        <w:rFonts w:hint="default"/>
        <w:lang w:val="en-US" w:eastAsia="en-US" w:bidi="en-US"/>
      </w:rPr>
    </w:lvl>
    <w:lvl w:ilvl="5" w:tplc="0B0645C2">
      <w:numFmt w:val="bullet"/>
      <w:lvlText w:val="•"/>
      <w:lvlJc w:val="left"/>
      <w:pPr>
        <w:ind w:left="5704" w:hanging="360"/>
      </w:pPr>
      <w:rPr>
        <w:rFonts w:hint="default"/>
        <w:lang w:val="en-US" w:eastAsia="en-US" w:bidi="en-US"/>
      </w:rPr>
    </w:lvl>
    <w:lvl w:ilvl="6" w:tplc="726054F2">
      <w:numFmt w:val="bullet"/>
      <w:lvlText w:val="•"/>
      <w:lvlJc w:val="left"/>
      <w:pPr>
        <w:ind w:left="6755" w:hanging="360"/>
      </w:pPr>
      <w:rPr>
        <w:rFonts w:hint="default"/>
        <w:lang w:val="en-US" w:eastAsia="en-US" w:bidi="en-US"/>
      </w:rPr>
    </w:lvl>
    <w:lvl w:ilvl="7" w:tplc="17B28236">
      <w:numFmt w:val="bullet"/>
      <w:lvlText w:val="•"/>
      <w:lvlJc w:val="left"/>
      <w:pPr>
        <w:ind w:left="7806" w:hanging="360"/>
      </w:pPr>
      <w:rPr>
        <w:rFonts w:hint="default"/>
        <w:lang w:val="en-US" w:eastAsia="en-US" w:bidi="en-US"/>
      </w:rPr>
    </w:lvl>
    <w:lvl w:ilvl="8" w:tplc="EF647F12">
      <w:numFmt w:val="bullet"/>
      <w:lvlText w:val="•"/>
      <w:lvlJc w:val="left"/>
      <w:pPr>
        <w:ind w:left="8857" w:hanging="360"/>
      </w:pPr>
      <w:rPr>
        <w:rFonts w:hint="default"/>
        <w:lang w:val="en-US" w:eastAsia="en-US" w:bidi="en-US"/>
      </w:rPr>
    </w:lvl>
  </w:abstractNum>
  <w:abstractNum w:abstractNumId="1" w15:restartNumberingAfterBreak="0">
    <w:nsid w:val="04F72092"/>
    <w:multiLevelType w:val="hybridMultilevel"/>
    <w:tmpl w:val="A410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4B5D"/>
    <w:multiLevelType w:val="hybridMultilevel"/>
    <w:tmpl w:val="DF3E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4E29"/>
    <w:multiLevelType w:val="hybridMultilevel"/>
    <w:tmpl w:val="70DE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680A"/>
    <w:multiLevelType w:val="hybridMultilevel"/>
    <w:tmpl w:val="D03C2AA2"/>
    <w:lvl w:ilvl="0" w:tplc="0409000F">
      <w:start w:val="1"/>
      <w:numFmt w:val="decimal"/>
      <w:lvlText w:val="%1."/>
      <w:lvlJc w:val="left"/>
      <w:pPr>
        <w:ind w:left="1200" w:hanging="360"/>
      </w:pPr>
      <w:rPr>
        <w:rFonts w:hint="default"/>
        <w:spacing w:val="-8"/>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6133"/>
    <w:multiLevelType w:val="hybridMultilevel"/>
    <w:tmpl w:val="3F4A7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5179A"/>
    <w:multiLevelType w:val="hybridMultilevel"/>
    <w:tmpl w:val="2ACC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03F"/>
    <w:multiLevelType w:val="hybridMultilevel"/>
    <w:tmpl w:val="EA06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F1317"/>
    <w:multiLevelType w:val="hybridMultilevel"/>
    <w:tmpl w:val="A98AA484"/>
    <w:lvl w:ilvl="0" w:tplc="0409000F">
      <w:start w:val="1"/>
      <w:numFmt w:val="decimal"/>
      <w:lvlText w:val="%1."/>
      <w:lvlJc w:val="left"/>
      <w:pPr>
        <w:ind w:left="720" w:hanging="360"/>
      </w:pPr>
      <w:rPr>
        <w:rFonts w:hint="default"/>
        <w:i w:val="0"/>
      </w:rPr>
    </w:lvl>
    <w:lvl w:ilvl="1" w:tplc="316A167C">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2382"/>
    <w:multiLevelType w:val="hybridMultilevel"/>
    <w:tmpl w:val="4EC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07AB7"/>
    <w:multiLevelType w:val="hybridMultilevel"/>
    <w:tmpl w:val="076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21236"/>
    <w:multiLevelType w:val="hybridMultilevel"/>
    <w:tmpl w:val="C764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1540E"/>
    <w:multiLevelType w:val="hybridMultilevel"/>
    <w:tmpl w:val="DCF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5208"/>
    <w:multiLevelType w:val="hybridMultilevel"/>
    <w:tmpl w:val="F57AF8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E511185"/>
    <w:multiLevelType w:val="hybridMultilevel"/>
    <w:tmpl w:val="B9380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660D2"/>
    <w:multiLevelType w:val="hybridMultilevel"/>
    <w:tmpl w:val="286C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00A39"/>
    <w:multiLevelType w:val="hybridMultilevel"/>
    <w:tmpl w:val="E1203B2A"/>
    <w:lvl w:ilvl="0" w:tplc="2EFE435E">
      <w:numFmt w:val="bullet"/>
      <w:lvlText w:val="•"/>
      <w:lvlJc w:val="left"/>
      <w:pPr>
        <w:ind w:left="1500" w:hanging="360"/>
      </w:pPr>
      <w:rPr>
        <w:rFonts w:ascii="Times New Roman" w:eastAsia="Times New Roman" w:hAnsi="Times New Roman" w:cs="Times New Roman" w:hint="default"/>
        <w:spacing w:val="-5"/>
        <w:w w:val="99"/>
        <w:sz w:val="24"/>
        <w:szCs w:val="24"/>
        <w:lang w:val="en-US" w:eastAsia="en-US" w:bidi="en-US"/>
      </w:rPr>
    </w:lvl>
    <w:lvl w:ilvl="1" w:tplc="002E434E">
      <w:numFmt w:val="bullet"/>
      <w:lvlText w:val="•"/>
      <w:lvlJc w:val="left"/>
      <w:pPr>
        <w:ind w:left="2446" w:hanging="360"/>
      </w:pPr>
      <w:rPr>
        <w:rFonts w:hint="default"/>
        <w:lang w:val="en-US" w:eastAsia="en-US" w:bidi="en-US"/>
      </w:rPr>
    </w:lvl>
    <w:lvl w:ilvl="2" w:tplc="9C60B976">
      <w:numFmt w:val="bullet"/>
      <w:lvlText w:val="•"/>
      <w:lvlJc w:val="left"/>
      <w:pPr>
        <w:ind w:left="3392" w:hanging="360"/>
      </w:pPr>
      <w:rPr>
        <w:rFonts w:hint="default"/>
        <w:lang w:val="en-US" w:eastAsia="en-US" w:bidi="en-US"/>
      </w:rPr>
    </w:lvl>
    <w:lvl w:ilvl="3" w:tplc="538ED2E2">
      <w:numFmt w:val="bullet"/>
      <w:lvlText w:val="•"/>
      <w:lvlJc w:val="left"/>
      <w:pPr>
        <w:ind w:left="4338" w:hanging="360"/>
      </w:pPr>
      <w:rPr>
        <w:rFonts w:hint="default"/>
        <w:lang w:val="en-US" w:eastAsia="en-US" w:bidi="en-US"/>
      </w:rPr>
    </w:lvl>
    <w:lvl w:ilvl="4" w:tplc="BF06DF22">
      <w:numFmt w:val="bullet"/>
      <w:lvlText w:val="•"/>
      <w:lvlJc w:val="left"/>
      <w:pPr>
        <w:ind w:left="5284" w:hanging="360"/>
      </w:pPr>
      <w:rPr>
        <w:rFonts w:hint="default"/>
        <w:lang w:val="en-US" w:eastAsia="en-US" w:bidi="en-US"/>
      </w:rPr>
    </w:lvl>
    <w:lvl w:ilvl="5" w:tplc="9A123062">
      <w:numFmt w:val="bullet"/>
      <w:lvlText w:val="•"/>
      <w:lvlJc w:val="left"/>
      <w:pPr>
        <w:ind w:left="6230" w:hanging="360"/>
      </w:pPr>
      <w:rPr>
        <w:rFonts w:hint="default"/>
        <w:lang w:val="en-US" w:eastAsia="en-US" w:bidi="en-US"/>
      </w:rPr>
    </w:lvl>
    <w:lvl w:ilvl="6" w:tplc="A6DA7B26">
      <w:numFmt w:val="bullet"/>
      <w:lvlText w:val="•"/>
      <w:lvlJc w:val="left"/>
      <w:pPr>
        <w:ind w:left="7176" w:hanging="360"/>
      </w:pPr>
      <w:rPr>
        <w:rFonts w:hint="default"/>
        <w:lang w:val="en-US" w:eastAsia="en-US" w:bidi="en-US"/>
      </w:rPr>
    </w:lvl>
    <w:lvl w:ilvl="7" w:tplc="C652E938">
      <w:numFmt w:val="bullet"/>
      <w:lvlText w:val="•"/>
      <w:lvlJc w:val="left"/>
      <w:pPr>
        <w:ind w:left="8122" w:hanging="360"/>
      </w:pPr>
      <w:rPr>
        <w:rFonts w:hint="default"/>
        <w:lang w:val="en-US" w:eastAsia="en-US" w:bidi="en-US"/>
      </w:rPr>
    </w:lvl>
    <w:lvl w:ilvl="8" w:tplc="9780B808">
      <w:numFmt w:val="bullet"/>
      <w:lvlText w:val="•"/>
      <w:lvlJc w:val="left"/>
      <w:pPr>
        <w:ind w:left="9068" w:hanging="360"/>
      </w:pPr>
      <w:rPr>
        <w:rFonts w:hint="default"/>
        <w:lang w:val="en-US" w:eastAsia="en-US" w:bidi="en-US"/>
      </w:rPr>
    </w:lvl>
  </w:abstractNum>
  <w:abstractNum w:abstractNumId="17" w15:restartNumberingAfterBreak="0">
    <w:nsid w:val="39687AA9"/>
    <w:multiLevelType w:val="hybridMultilevel"/>
    <w:tmpl w:val="7210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05FC2"/>
    <w:multiLevelType w:val="hybridMultilevel"/>
    <w:tmpl w:val="23A0F2E6"/>
    <w:lvl w:ilvl="0" w:tplc="08090001">
      <w:start w:val="1"/>
      <w:numFmt w:val="bullet"/>
      <w:pStyle w:val="Bullet1"/>
      <w:lvlText w:val=""/>
      <w:lvlJc w:val="left"/>
      <w:pPr>
        <w:tabs>
          <w:tab w:val="num" w:pos="851"/>
        </w:tabs>
        <w:ind w:left="851" w:hanging="426"/>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C107B"/>
    <w:multiLevelType w:val="hybridMultilevel"/>
    <w:tmpl w:val="DB78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B10EC"/>
    <w:multiLevelType w:val="multilevel"/>
    <w:tmpl w:val="C18C8C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41FB7E7D"/>
    <w:multiLevelType w:val="hybridMultilevel"/>
    <w:tmpl w:val="8B9A3BA2"/>
    <w:lvl w:ilvl="0" w:tplc="26980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45EF9"/>
    <w:multiLevelType w:val="hybridMultilevel"/>
    <w:tmpl w:val="7116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22D41"/>
    <w:multiLevelType w:val="hybridMultilevel"/>
    <w:tmpl w:val="3EFCB3E4"/>
    <w:lvl w:ilvl="0" w:tplc="B98E0C84">
      <w:start w:val="1"/>
      <w:numFmt w:val="decimal"/>
      <w:lvlText w:val="%1."/>
      <w:lvlJc w:val="left"/>
      <w:pPr>
        <w:ind w:left="360" w:hanging="360"/>
      </w:pPr>
      <w:rPr>
        <w:rFonts w:ascii="Calibri" w:eastAsia="Times New Roman" w:hAnsi="Calibri" w:cs="Times New Roman" w:hint="default"/>
        <w:spacing w:val="-4"/>
        <w:w w:val="99"/>
        <w:sz w:val="24"/>
        <w:szCs w:val="24"/>
      </w:rPr>
    </w:lvl>
    <w:lvl w:ilvl="1" w:tplc="04090019">
      <w:start w:val="1"/>
      <w:numFmt w:val="lowerLetter"/>
      <w:lvlText w:val="%2."/>
      <w:lvlJc w:val="left"/>
      <w:pPr>
        <w:ind w:left="600" w:hanging="360"/>
      </w:pPr>
    </w:lvl>
    <w:lvl w:ilvl="2" w:tplc="0409001B">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24" w15:restartNumberingAfterBreak="0">
    <w:nsid w:val="47875B92"/>
    <w:multiLevelType w:val="hybridMultilevel"/>
    <w:tmpl w:val="779A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147DC"/>
    <w:multiLevelType w:val="multilevel"/>
    <w:tmpl w:val="1996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2A37C9"/>
    <w:multiLevelType w:val="hybridMultilevel"/>
    <w:tmpl w:val="9644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965A8"/>
    <w:multiLevelType w:val="multilevel"/>
    <w:tmpl w:val="D8AA7EBC"/>
    <w:lvl w:ilvl="0">
      <w:start w:val="1"/>
      <w:numFmt w:val="upperRoman"/>
      <w:pStyle w:val="TOCI"/>
      <w:lvlText w:val="%1."/>
      <w:lvlJc w:val="right"/>
      <w:pPr>
        <w:ind w:left="360" w:hanging="360"/>
      </w:pPr>
      <w:rPr>
        <w:b w:val="0"/>
        <w:i w:val="0"/>
        <w:color w:val="5B9BD5" w:themeColor="accent5"/>
        <w:sz w:val="24"/>
        <w:szCs w:val="24"/>
      </w:rPr>
    </w:lvl>
    <w:lvl w:ilvl="1">
      <w:start w:val="1"/>
      <w:numFmt w:val="decimal"/>
      <w:lvlText w:val="%1.%2."/>
      <w:lvlJc w:val="left"/>
      <w:pPr>
        <w:ind w:left="792" w:hanging="432"/>
      </w:pPr>
      <w:rPr>
        <w:b/>
        <w:color w:val="000000" w:themeColor="text1"/>
        <w:sz w:val="22"/>
        <w:szCs w:val="22"/>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33405B"/>
    <w:multiLevelType w:val="hybridMultilevel"/>
    <w:tmpl w:val="39A8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43F60"/>
    <w:multiLevelType w:val="hybridMultilevel"/>
    <w:tmpl w:val="5BA2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23657"/>
    <w:multiLevelType w:val="hybridMultilevel"/>
    <w:tmpl w:val="DE9805F4"/>
    <w:lvl w:ilvl="0" w:tplc="6F22CF98">
      <w:start w:val="1"/>
      <w:numFmt w:val="decimal"/>
      <w:lvlText w:val="%1."/>
      <w:lvlJc w:val="left"/>
      <w:pPr>
        <w:ind w:left="720" w:hanging="360"/>
      </w:pPr>
      <w:rPr>
        <w:rFonts w:ascii="Calibri" w:eastAsia="Times New Roman" w:hAnsi="Calibri" w:cs="Times New Roman" w:hint="default"/>
        <w:spacing w:val="-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60F2F"/>
    <w:multiLevelType w:val="hybridMultilevel"/>
    <w:tmpl w:val="690EA6B0"/>
    <w:lvl w:ilvl="0" w:tplc="209A13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640B0"/>
    <w:multiLevelType w:val="hybridMultilevel"/>
    <w:tmpl w:val="D716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26BE4"/>
    <w:multiLevelType w:val="hybridMultilevel"/>
    <w:tmpl w:val="B8CCE76E"/>
    <w:lvl w:ilvl="0" w:tplc="1EAE4450">
      <w:numFmt w:val="bullet"/>
      <w:lvlText w:val="•"/>
      <w:lvlJc w:val="left"/>
      <w:pPr>
        <w:ind w:left="1500" w:hanging="360"/>
      </w:pPr>
      <w:rPr>
        <w:rFonts w:ascii="Times New Roman" w:eastAsia="Times New Roman" w:hAnsi="Times New Roman" w:cs="Times New Roman" w:hint="default"/>
        <w:spacing w:val="-5"/>
        <w:w w:val="99"/>
        <w:sz w:val="24"/>
        <w:szCs w:val="24"/>
        <w:lang w:val="en-US" w:eastAsia="en-US" w:bidi="en-US"/>
      </w:rPr>
    </w:lvl>
    <w:lvl w:ilvl="1" w:tplc="0F9AF4DE">
      <w:numFmt w:val="bullet"/>
      <w:lvlText w:val="•"/>
      <w:lvlJc w:val="left"/>
      <w:pPr>
        <w:ind w:left="2446" w:hanging="360"/>
      </w:pPr>
      <w:rPr>
        <w:rFonts w:hint="default"/>
        <w:lang w:val="en-US" w:eastAsia="en-US" w:bidi="en-US"/>
      </w:rPr>
    </w:lvl>
    <w:lvl w:ilvl="2" w:tplc="A37E7FFC">
      <w:numFmt w:val="bullet"/>
      <w:lvlText w:val="•"/>
      <w:lvlJc w:val="left"/>
      <w:pPr>
        <w:ind w:left="3392" w:hanging="360"/>
      </w:pPr>
      <w:rPr>
        <w:rFonts w:hint="default"/>
        <w:lang w:val="en-US" w:eastAsia="en-US" w:bidi="en-US"/>
      </w:rPr>
    </w:lvl>
    <w:lvl w:ilvl="3" w:tplc="691AA33A">
      <w:numFmt w:val="bullet"/>
      <w:lvlText w:val="•"/>
      <w:lvlJc w:val="left"/>
      <w:pPr>
        <w:ind w:left="4338" w:hanging="360"/>
      </w:pPr>
      <w:rPr>
        <w:rFonts w:hint="default"/>
        <w:lang w:val="en-US" w:eastAsia="en-US" w:bidi="en-US"/>
      </w:rPr>
    </w:lvl>
    <w:lvl w:ilvl="4" w:tplc="8BB4EFDA">
      <w:numFmt w:val="bullet"/>
      <w:lvlText w:val="•"/>
      <w:lvlJc w:val="left"/>
      <w:pPr>
        <w:ind w:left="5284" w:hanging="360"/>
      </w:pPr>
      <w:rPr>
        <w:rFonts w:hint="default"/>
        <w:lang w:val="en-US" w:eastAsia="en-US" w:bidi="en-US"/>
      </w:rPr>
    </w:lvl>
    <w:lvl w:ilvl="5" w:tplc="05DC2D26">
      <w:numFmt w:val="bullet"/>
      <w:lvlText w:val="•"/>
      <w:lvlJc w:val="left"/>
      <w:pPr>
        <w:ind w:left="6230" w:hanging="360"/>
      </w:pPr>
      <w:rPr>
        <w:rFonts w:hint="default"/>
        <w:lang w:val="en-US" w:eastAsia="en-US" w:bidi="en-US"/>
      </w:rPr>
    </w:lvl>
    <w:lvl w:ilvl="6" w:tplc="58AAE562">
      <w:numFmt w:val="bullet"/>
      <w:lvlText w:val="•"/>
      <w:lvlJc w:val="left"/>
      <w:pPr>
        <w:ind w:left="7176" w:hanging="360"/>
      </w:pPr>
      <w:rPr>
        <w:rFonts w:hint="default"/>
        <w:lang w:val="en-US" w:eastAsia="en-US" w:bidi="en-US"/>
      </w:rPr>
    </w:lvl>
    <w:lvl w:ilvl="7" w:tplc="72243C3E">
      <w:numFmt w:val="bullet"/>
      <w:lvlText w:val="•"/>
      <w:lvlJc w:val="left"/>
      <w:pPr>
        <w:ind w:left="8122" w:hanging="360"/>
      </w:pPr>
      <w:rPr>
        <w:rFonts w:hint="default"/>
        <w:lang w:val="en-US" w:eastAsia="en-US" w:bidi="en-US"/>
      </w:rPr>
    </w:lvl>
    <w:lvl w:ilvl="8" w:tplc="8BEEC8F2">
      <w:numFmt w:val="bullet"/>
      <w:lvlText w:val="•"/>
      <w:lvlJc w:val="left"/>
      <w:pPr>
        <w:ind w:left="9068" w:hanging="360"/>
      </w:pPr>
      <w:rPr>
        <w:rFonts w:hint="default"/>
        <w:lang w:val="en-US" w:eastAsia="en-US" w:bidi="en-US"/>
      </w:rPr>
    </w:lvl>
  </w:abstractNum>
  <w:abstractNum w:abstractNumId="34" w15:restartNumberingAfterBreak="0">
    <w:nsid w:val="6A8C448E"/>
    <w:multiLevelType w:val="hybridMultilevel"/>
    <w:tmpl w:val="4A366B20"/>
    <w:lvl w:ilvl="0" w:tplc="6434A9CA">
      <w:start w:val="1"/>
      <w:numFmt w:val="upperLetter"/>
      <w:lvlText w:val="%1."/>
      <w:lvlJc w:val="left"/>
      <w:pPr>
        <w:ind w:left="480" w:hanging="360"/>
      </w:pPr>
      <w:rPr>
        <w:rFonts w:ascii="Times New Roman" w:eastAsia="Times New Roman" w:hAnsi="Times New Roman" w:cs="Times New Roman" w:hint="default"/>
        <w:b/>
        <w:bCs/>
        <w:spacing w:val="-1"/>
        <w:w w:val="99"/>
        <w:sz w:val="24"/>
        <w:szCs w:val="24"/>
      </w:rPr>
    </w:lvl>
    <w:lvl w:ilvl="1" w:tplc="0364523A">
      <w:start w:val="1"/>
      <w:numFmt w:val="decimal"/>
      <w:lvlText w:val="%2."/>
      <w:lvlJc w:val="left"/>
      <w:pPr>
        <w:ind w:left="480" w:hanging="360"/>
      </w:pPr>
      <w:rPr>
        <w:rFonts w:ascii="Calibri" w:eastAsia="Times New Roman" w:hAnsi="Calibri" w:cs="Times New Roman" w:hint="default"/>
        <w:b w:val="0"/>
        <w:bCs/>
        <w:spacing w:val="-2"/>
        <w:w w:val="99"/>
        <w:sz w:val="24"/>
        <w:szCs w:val="24"/>
      </w:rPr>
    </w:lvl>
    <w:lvl w:ilvl="2" w:tplc="90F0F332">
      <w:start w:val="1"/>
      <w:numFmt w:val="lowerLetter"/>
      <w:lvlText w:val="%3."/>
      <w:lvlJc w:val="left"/>
      <w:pPr>
        <w:ind w:left="840" w:hanging="360"/>
      </w:pPr>
      <w:rPr>
        <w:rFonts w:ascii="Times New Roman" w:eastAsia="Times New Roman" w:hAnsi="Times New Roman" w:cs="Times New Roman" w:hint="default"/>
        <w:spacing w:val="-2"/>
        <w:w w:val="99"/>
        <w:sz w:val="24"/>
        <w:szCs w:val="24"/>
      </w:rPr>
    </w:lvl>
    <w:lvl w:ilvl="3" w:tplc="2AEE39B4">
      <w:start w:val="1"/>
      <w:numFmt w:val="lowerRoman"/>
      <w:lvlText w:val="%4."/>
      <w:lvlJc w:val="left"/>
      <w:pPr>
        <w:ind w:left="1200" w:hanging="360"/>
      </w:pPr>
      <w:rPr>
        <w:rFonts w:asciiTheme="minorHAnsi" w:eastAsia="Times New Roman" w:hAnsiTheme="minorHAnsi" w:cstheme="minorHAnsi" w:hint="default"/>
        <w:spacing w:val="-8"/>
        <w:w w:val="99"/>
        <w:sz w:val="24"/>
        <w:szCs w:val="24"/>
      </w:rPr>
    </w:lvl>
    <w:lvl w:ilvl="4" w:tplc="6F22CF98">
      <w:start w:val="1"/>
      <w:numFmt w:val="decimal"/>
      <w:lvlText w:val="%5."/>
      <w:lvlJc w:val="left"/>
      <w:pPr>
        <w:ind w:left="1560" w:hanging="360"/>
      </w:pPr>
      <w:rPr>
        <w:rFonts w:ascii="Calibri" w:eastAsia="Times New Roman" w:hAnsi="Calibri" w:cs="Times New Roman" w:hint="default"/>
        <w:spacing w:val="-4"/>
        <w:w w:val="99"/>
        <w:sz w:val="24"/>
        <w:szCs w:val="24"/>
      </w:rPr>
    </w:lvl>
    <w:lvl w:ilvl="5" w:tplc="DB76D9AE">
      <w:numFmt w:val="bullet"/>
      <w:lvlText w:val="•"/>
      <w:lvlJc w:val="left"/>
      <w:pPr>
        <w:ind w:left="3857" w:hanging="360"/>
      </w:pPr>
      <w:rPr>
        <w:rFonts w:hint="default"/>
      </w:rPr>
    </w:lvl>
    <w:lvl w:ilvl="6" w:tplc="71C628C4">
      <w:numFmt w:val="bullet"/>
      <w:lvlText w:val="•"/>
      <w:lvlJc w:val="left"/>
      <w:pPr>
        <w:ind w:left="5005" w:hanging="360"/>
      </w:pPr>
      <w:rPr>
        <w:rFonts w:hint="default"/>
      </w:rPr>
    </w:lvl>
    <w:lvl w:ilvl="7" w:tplc="5754B0A8">
      <w:numFmt w:val="bullet"/>
      <w:lvlText w:val="•"/>
      <w:lvlJc w:val="left"/>
      <w:pPr>
        <w:ind w:left="6154" w:hanging="360"/>
      </w:pPr>
      <w:rPr>
        <w:rFonts w:hint="default"/>
      </w:rPr>
    </w:lvl>
    <w:lvl w:ilvl="8" w:tplc="BCCECCC0">
      <w:numFmt w:val="bullet"/>
      <w:lvlText w:val="•"/>
      <w:lvlJc w:val="left"/>
      <w:pPr>
        <w:ind w:left="7302" w:hanging="360"/>
      </w:pPr>
      <w:rPr>
        <w:rFonts w:hint="default"/>
      </w:rPr>
    </w:lvl>
  </w:abstractNum>
  <w:abstractNum w:abstractNumId="35" w15:restartNumberingAfterBreak="0">
    <w:nsid w:val="6E440328"/>
    <w:multiLevelType w:val="hybridMultilevel"/>
    <w:tmpl w:val="779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5610A"/>
    <w:multiLevelType w:val="hybridMultilevel"/>
    <w:tmpl w:val="874E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42244"/>
    <w:multiLevelType w:val="hybridMultilevel"/>
    <w:tmpl w:val="9C48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E5AFD"/>
    <w:multiLevelType w:val="hybridMultilevel"/>
    <w:tmpl w:val="B448C8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EA83E7F"/>
    <w:multiLevelType w:val="multilevel"/>
    <w:tmpl w:val="454E3E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8"/>
  </w:num>
  <w:num w:numId="5">
    <w:abstractNumId w:val="30"/>
  </w:num>
  <w:num w:numId="6">
    <w:abstractNumId w:val="8"/>
  </w:num>
  <w:num w:numId="7">
    <w:abstractNumId w:val="24"/>
  </w:num>
  <w:num w:numId="8">
    <w:abstractNumId w:val="25"/>
  </w:num>
  <w:num w:numId="9">
    <w:abstractNumId w:val="20"/>
  </w:num>
  <w:num w:numId="10">
    <w:abstractNumId w:val="9"/>
  </w:num>
  <w:num w:numId="11">
    <w:abstractNumId w:val="26"/>
  </w:num>
  <w:num w:numId="12">
    <w:abstractNumId w:val="2"/>
  </w:num>
  <w:num w:numId="13">
    <w:abstractNumId w:val="16"/>
  </w:num>
  <w:num w:numId="14">
    <w:abstractNumId w:val="0"/>
  </w:num>
  <w:num w:numId="15">
    <w:abstractNumId w:val="33"/>
  </w:num>
  <w:num w:numId="16">
    <w:abstractNumId w:val="4"/>
  </w:num>
  <w:num w:numId="17">
    <w:abstractNumId w:val="23"/>
  </w:num>
  <w:num w:numId="18">
    <w:abstractNumId w:val="31"/>
  </w:num>
  <w:num w:numId="19">
    <w:abstractNumId w:val="39"/>
  </w:num>
  <w:num w:numId="20">
    <w:abstractNumId w:val="7"/>
  </w:num>
  <w:num w:numId="21">
    <w:abstractNumId w:val="37"/>
  </w:num>
  <w:num w:numId="22">
    <w:abstractNumId w:val="14"/>
  </w:num>
  <w:num w:numId="23">
    <w:abstractNumId w:val="5"/>
  </w:num>
  <w:num w:numId="24">
    <w:abstractNumId w:val="32"/>
  </w:num>
  <w:num w:numId="25">
    <w:abstractNumId w:val="1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2"/>
  </w:num>
  <w:num w:numId="33">
    <w:abstractNumId w:val="1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6"/>
  </w:num>
  <w:num w:numId="38">
    <w:abstractNumId w:val="38"/>
  </w:num>
  <w:num w:numId="39">
    <w:abstractNumId w:val="13"/>
  </w:num>
  <w:num w:numId="40">
    <w:abstractNumId w:val="3"/>
  </w:num>
  <w:num w:numId="41">
    <w:abstractNumId w:val="1"/>
  </w:num>
  <w:num w:numId="42">
    <w:abstractNumId w:val="35"/>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0"/>
  </w:num>
  <w:num w:numId="46">
    <w:abstractNumId w:val="12"/>
  </w:num>
  <w:num w:numId="4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AB"/>
    <w:rsid w:val="000002EA"/>
    <w:rsid w:val="00006518"/>
    <w:rsid w:val="000071B4"/>
    <w:rsid w:val="000100B3"/>
    <w:rsid w:val="0001037B"/>
    <w:rsid w:val="000105D0"/>
    <w:rsid w:val="00010F12"/>
    <w:rsid w:val="00011835"/>
    <w:rsid w:val="00011C17"/>
    <w:rsid w:val="00012A1A"/>
    <w:rsid w:val="000156B6"/>
    <w:rsid w:val="00015D9F"/>
    <w:rsid w:val="00016EE2"/>
    <w:rsid w:val="000174B3"/>
    <w:rsid w:val="00025450"/>
    <w:rsid w:val="000307CA"/>
    <w:rsid w:val="00030D4C"/>
    <w:rsid w:val="00033A34"/>
    <w:rsid w:val="00034361"/>
    <w:rsid w:val="000361E9"/>
    <w:rsid w:val="000367C7"/>
    <w:rsid w:val="00036CA0"/>
    <w:rsid w:val="00037619"/>
    <w:rsid w:val="00037D3A"/>
    <w:rsid w:val="000400D4"/>
    <w:rsid w:val="000405E9"/>
    <w:rsid w:val="00040A92"/>
    <w:rsid w:val="00054ACC"/>
    <w:rsid w:val="00054E64"/>
    <w:rsid w:val="00054FDC"/>
    <w:rsid w:val="00057334"/>
    <w:rsid w:val="00064E54"/>
    <w:rsid w:val="0006754B"/>
    <w:rsid w:val="00074D1D"/>
    <w:rsid w:val="0007560E"/>
    <w:rsid w:val="00081941"/>
    <w:rsid w:val="00085270"/>
    <w:rsid w:val="000857CA"/>
    <w:rsid w:val="000874BF"/>
    <w:rsid w:val="0009032F"/>
    <w:rsid w:val="00090CB3"/>
    <w:rsid w:val="00091759"/>
    <w:rsid w:val="00091C8D"/>
    <w:rsid w:val="0009474A"/>
    <w:rsid w:val="00096CDA"/>
    <w:rsid w:val="000A1765"/>
    <w:rsid w:val="000A3E8D"/>
    <w:rsid w:val="000A4F32"/>
    <w:rsid w:val="000B23F1"/>
    <w:rsid w:val="000B552D"/>
    <w:rsid w:val="000C002B"/>
    <w:rsid w:val="000C3465"/>
    <w:rsid w:val="000C4AD0"/>
    <w:rsid w:val="000C4C3A"/>
    <w:rsid w:val="000D13B3"/>
    <w:rsid w:val="000D13FC"/>
    <w:rsid w:val="000D1C98"/>
    <w:rsid w:val="000D4A8A"/>
    <w:rsid w:val="000D53C6"/>
    <w:rsid w:val="000F1052"/>
    <w:rsid w:val="000F11D6"/>
    <w:rsid w:val="000F5F0D"/>
    <w:rsid w:val="000F6065"/>
    <w:rsid w:val="001003EF"/>
    <w:rsid w:val="00104EDB"/>
    <w:rsid w:val="001101C9"/>
    <w:rsid w:val="001113F8"/>
    <w:rsid w:val="0011360D"/>
    <w:rsid w:val="00114855"/>
    <w:rsid w:val="00116888"/>
    <w:rsid w:val="00117D64"/>
    <w:rsid w:val="00120F65"/>
    <w:rsid w:val="001217CD"/>
    <w:rsid w:val="00121EC5"/>
    <w:rsid w:val="00122D48"/>
    <w:rsid w:val="0012305C"/>
    <w:rsid w:val="00126DB0"/>
    <w:rsid w:val="0012793B"/>
    <w:rsid w:val="001331BB"/>
    <w:rsid w:val="00133F77"/>
    <w:rsid w:val="001341D8"/>
    <w:rsid w:val="00140E6D"/>
    <w:rsid w:val="00141DD3"/>
    <w:rsid w:val="00141E09"/>
    <w:rsid w:val="00142987"/>
    <w:rsid w:val="00143A19"/>
    <w:rsid w:val="00143BA2"/>
    <w:rsid w:val="00144776"/>
    <w:rsid w:val="00144CF3"/>
    <w:rsid w:val="00146BB4"/>
    <w:rsid w:val="00150B7E"/>
    <w:rsid w:val="00151874"/>
    <w:rsid w:val="0015539C"/>
    <w:rsid w:val="00160826"/>
    <w:rsid w:val="001616EB"/>
    <w:rsid w:val="0016650C"/>
    <w:rsid w:val="00173BA0"/>
    <w:rsid w:val="001747E4"/>
    <w:rsid w:val="00174B5C"/>
    <w:rsid w:val="001761C5"/>
    <w:rsid w:val="001763C1"/>
    <w:rsid w:val="00181F15"/>
    <w:rsid w:val="001821B8"/>
    <w:rsid w:val="00182FD3"/>
    <w:rsid w:val="001830B0"/>
    <w:rsid w:val="00190DBD"/>
    <w:rsid w:val="00191715"/>
    <w:rsid w:val="00192D8B"/>
    <w:rsid w:val="00192F53"/>
    <w:rsid w:val="0019300E"/>
    <w:rsid w:val="00196AE1"/>
    <w:rsid w:val="001A1B10"/>
    <w:rsid w:val="001A2093"/>
    <w:rsid w:val="001A22F6"/>
    <w:rsid w:val="001A2649"/>
    <w:rsid w:val="001B0462"/>
    <w:rsid w:val="001B4C34"/>
    <w:rsid w:val="001B5FB3"/>
    <w:rsid w:val="001B5FE4"/>
    <w:rsid w:val="001B70FC"/>
    <w:rsid w:val="001C0E59"/>
    <w:rsid w:val="001C179C"/>
    <w:rsid w:val="001C1C52"/>
    <w:rsid w:val="001C2E3A"/>
    <w:rsid w:val="001C53D2"/>
    <w:rsid w:val="001C7F25"/>
    <w:rsid w:val="001D16A6"/>
    <w:rsid w:val="001D2297"/>
    <w:rsid w:val="001D4ED4"/>
    <w:rsid w:val="001D63ED"/>
    <w:rsid w:val="001D77FE"/>
    <w:rsid w:val="001E1171"/>
    <w:rsid w:val="001E1389"/>
    <w:rsid w:val="001E2127"/>
    <w:rsid w:val="001F0940"/>
    <w:rsid w:val="001F1903"/>
    <w:rsid w:val="001F456E"/>
    <w:rsid w:val="00203DFE"/>
    <w:rsid w:val="00204E48"/>
    <w:rsid w:val="00204EDE"/>
    <w:rsid w:val="00206866"/>
    <w:rsid w:val="00206AC3"/>
    <w:rsid w:val="00211273"/>
    <w:rsid w:val="00212784"/>
    <w:rsid w:val="00214BD2"/>
    <w:rsid w:val="00216628"/>
    <w:rsid w:val="0022265E"/>
    <w:rsid w:val="0023303E"/>
    <w:rsid w:val="0023464F"/>
    <w:rsid w:val="002360E4"/>
    <w:rsid w:val="00241BB7"/>
    <w:rsid w:val="00242F11"/>
    <w:rsid w:val="002466F2"/>
    <w:rsid w:val="00246D55"/>
    <w:rsid w:val="0025374A"/>
    <w:rsid w:val="00260492"/>
    <w:rsid w:val="00260A69"/>
    <w:rsid w:val="0026243B"/>
    <w:rsid w:val="00262744"/>
    <w:rsid w:val="002646CC"/>
    <w:rsid w:val="00264C90"/>
    <w:rsid w:val="00266A6D"/>
    <w:rsid w:val="00270FC4"/>
    <w:rsid w:val="0027215D"/>
    <w:rsid w:val="00272C54"/>
    <w:rsid w:val="00273A4A"/>
    <w:rsid w:val="00273E05"/>
    <w:rsid w:val="00275DEB"/>
    <w:rsid w:val="00275FC2"/>
    <w:rsid w:val="00280969"/>
    <w:rsid w:val="002830D2"/>
    <w:rsid w:val="00283596"/>
    <w:rsid w:val="00295441"/>
    <w:rsid w:val="00296206"/>
    <w:rsid w:val="002A17D5"/>
    <w:rsid w:val="002A1C45"/>
    <w:rsid w:val="002A2721"/>
    <w:rsid w:val="002A47F0"/>
    <w:rsid w:val="002A62C6"/>
    <w:rsid w:val="002A6844"/>
    <w:rsid w:val="002B0DBA"/>
    <w:rsid w:val="002B2685"/>
    <w:rsid w:val="002B3922"/>
    <w:rsid w:val="002B4041"/>
    <w:rsid w:val="002C2471"/>
    <w:rsid w:val="002C288E"/>
    <w:rsid w:val="002C33AF"/>
    <w:rsid w:val="002D0743"/>
    <w:rsid w:val="002D1C5E"/>
    <w:rsid w:val="002D2163"/>
    <w:rsid w:val="002D2862"/>
    <w:rsid w:val="002D32E9"/>
    <w:rsid w:val="002D3D36"/>
    <w:rsid w:val="002D6A04"/>
    <w:rsid w:val="002D6C4C"/>
    <w:rsid w:val="002E0346"/>
    <w:rsid w:val="002E4020"/>
    <w:rsid w:val="002E62D1"/>
    <w:rsid w:val="002F38E4"/>
    <w:rsid w:val="002F4E1A"/>
    <w:rsid w:val="002F5C10"/>
    <w:rsid w:val="003021DD"/>
    <w:rsid w:val="00303B00"/>
    <w:rsid w:val="00303D71"/>
    <w:rsid w:val="00304F42"/>
    <w:rsid w:val="003058DA"/>
    <w:rsid w:val="00306DD9"/>
    <w:rsid w:val="00311632"/>
    <w:rsid w:val="0032114F"/>
    <w:rsid w:val="00321F06"/>
    <w:rsid w:val="0032521E"/>
    <w:rsid w:val="00330E29"/>
    <w:rsid w:val="00333FEF"/>
    <w:rsid w:val="0033419F"/>
    <w:rsid w:val="00334EB2"/>
    <w:rsid w:val="00337267"/>
    <w:rsid w:val="00337F44"/>
    <w:rsid w:val="00343B70"/>
    <w:rsid w:val="003450A5"/>
    <w:rsid w:val="003500FC"/>
    <w:rsid w:val="00350BFA"/>
    <w:rsid w:val="00351593"/>
    <w:rsid w:val="00352D6A"/>
    <w:rsid w:val="00355B96"/>
    <w:rsid w:val="00355F62"/>
    <w:rsid w:val="00356C2A"/>
    <w:rsid w:val="00357678"/>
    <w:rsid w:val="00361CCC"/>
    <w:rsid w:val="00361D5A"/>
    <w:rsid w:val="00364FA7"/>
    <w:rsid w:val="003735A7"/>
    <w:rsid w:val="00373D7B"/>
    <w:rsid w:val="00382151"/>
    <w:rsid w:val="003827B9"/>
    <w:rsid w:val="003835C6"/>
    <w:rsid w:val="003907C5"/>
    <w:rsid w:val="00394E25"/>
    <w:rsid w:val="0039538B"/>
    <w:rsid w:val="00396D8E"/>
    <w:rsid w:val="00397E58"/>
    <w:rsid w:val="003A18FD"/>
    <w:rsid w:val="003A6766"/>
    <w:rsid w:val="003A721F"/>
    <w:rsid w:val="003B1DDC"/>
    <w:rsid w:val="003B46A9"/>
    <w:rsid w:val="003B4C1C"/>
    <w:rsid w:val="003B60C1"/>
    <w:rsid w:val="003C15B7"/>
    <w:rsid w:val="003C19CF"/>
    <w:rsid w:val="003C3E43"/>
    <w:rsid w:val="003C4147"/>
    <w:rsid w:val="003C45A6"/>
    <w:rsid w:val="003C4EA4"/>
    <w:rsid w:val="003C5833"/>
    <w:rsid w:val="003C5B9A"/>
    <w:rsid w:val="003C68D1"/>
    <w:rsid w:val="003C7770"/>
    <w:rsid w:val="003D01D1"/>
    <w:rsid w:val="003D044C"/>
    <w:rsid w:val="003D3EA4"/>
    <w:rsid w:val="003D47BC"/>
    <w:rsid w:val="003D7A4F"/>
    <w:rsid w:val="003E423F"/>
    <w:rsid w:val="003E5E6E"/>
    <w:rsid w:val="003E6F6D"/>
    <w:rsid w:val="003F1197"/>
    <w:rsid w:val="003F2DC7"/>
    <w:rsid w:val="003F3ABE"/>
    <w:rsid w:val="003F3EBA"/>
    <w:rsid w:val="003F5E22"/>
    <w:rsid w:val="003F6B94"/>
    <w:rsid w:val="00401EB4"/>
    <w:rsid w:val="00401ECE"/>
    <w:rsid w:val="00403998"/>
    <w:rsid w:val="004057FC"/>
    <w:rsid w:val="00407374"/>
    <w:rsid w:val="00410DEC"/>
    <w:rsid w:val="00412D90"/>
    <w:rsid w:val="0041399A"/>
    <w:rsid w:val="004207B7"/>
    <w:rsid w:val="00422AAC"/>
    <w:rsid w:val="00424D0C"/>
    <w:rsid w:val="00425CEB"/>
    <w:rsid w:val="0042642A"/>
    <w:rsid w:val="00427E42"/>
    <w:rsid w:val="0043026E"/>
    <w:rsid w:val="00432CDE"/>
    <w:rsid w:val="00434FC5"/>
    <w:rsid w:val="00435475"/>
    <w:rsid w:val="004361F2"/>
    <w:rsid w:val="00442272"/>
    <w:rsid w:val="00442AD2"/>
    <w:rsid w:val="00442AE4"/>
    <w:rsid w:val="00445C69"/>
    <w:rsid w:val="004519C3"/>
    <w:rsid w:val="004529B2"/>
    <w:rsid w:val="004571E1"/>
    <w:rsid w:val="004572BB"/>
    <w:rsid w:val="0045762A"/>
    <w:rsid w:val="00461A08"/>
    <w:rsid w:val="00463CAE"/>
    <w:rsid w:val="004702C8"/>
    <w:rsid w:val="00471173"/>
    <w:rsid w:val="004743F4"/>
    <w:rsid w:val="00476EBE"/>
    <w:rsid w:val="00481288"/>
    <w:rsid w:val="00481542"/>
    <w:rsid w:val="00482031"/>
    <w:rsid w:val="00483CD8"/>
    <w:rsid w:val="0049041C"/>
    <w:rsid w:val="00490D1D"/>
    <w:rsid w:val="004968A8"/>
    <w:rsid w:val="00496941"/>
    <w:rsid w:val="00497869"/>
    <w:rsid w:val="004A08E9"/>
    <w:rsid w:val="004A1034"/>
    <w:rsid w:val="004A38D4"/>
    <w:rsid w:val="004A469C"/>
    <w:rsid w:val="004A4F64"/>
    <w:rsid w:val="004A6999"/>
    <w:rsid w:val="004A6FBE"/>
    <w:rsid w:val="004A7137"/>
    <w:rsid w:val="004B1664"/>
    <w:rsid w:val="004B3EC8"/>
    <w:rsid w:val="004B45B4"/>
    <w:rsid w:val="004B7242"/>
    <w:rsid w:val="004B73D7"/>
    <w:rsid w:val="004C347F"/>
    <w:rsid w:val="004C6075"/>
    <w:rsid w:val="004C735D"/>
    <w:rsid w:val="004D0099"/>
    <w:rsid w:val="004D0842"/>
    <w:rsid w:val="004D2507"/>
    <w:rsid w:val="004D2F22"/>
    <w:rsid w:val="004D4A6B"/>
    <w:rsid w:val="004D54F3"/>
    <w:rsid w:val="004E0BE6"/>
    <w:rsid w:val="004E1082"/>
    <w:rsid w:val="004E23BA"/>
    <w:rsid w:val="004E25FB"/>
    <w:rsid w:val="004F006B"/>
    <w:rsid w:val="004F348C"/>
    <w:rsid w:val="004F3756"/>
    <w:rsid w:val="004F56F1"/>
    <w:rsid w:val="004F5B61"/>
    <w:rsid w:val="005006BA"/>
    <w:rsid w:val="005060DD"/>
    <w:rsid w:val="00506A37"/>
    <w:rsid w:val="00510550"/>
    <w:rsid w:val="0051096C"/>
    <w:rsid w:val="00510CC7"/>
    <w:rsid w:val="00511CB6"/>
    <w:rsid w:val="005141E9"/>
    <w:rsid w:val="005142CF"/>
    <w:rsid w:val="00520CF8"/>
    <w:rsid w:val="00522EF1"/>
    <w:rsid w:val="00524A8B"/>
    <w:rsid w:val="00524B3D"/>
    <w:rsid w:val="00533BE1"/>
    <w:rsid w:val="00535197"/>
    <w:rsid w:val="005362C1"/>
    <w:rsid w:val="00536B26"/>
    <w:rsid w:val="00537D37"/>
    <w:rsid w:val="00540C79"/>
    <w:rsid w:val="005441C1"/>
    <w:rsid w:val="00544306"/>
    <w:rsid w:val="00545B46"/>
    <w:rsid w:val="0054704D"/>
    <w:rsid w:val="00547289"/>
    <w:rsid w:val="00553924"/>
    <w:rsid w:val="00555639"/>
    <w:rsid w:val="005566F5"/>
    <w:rsid w:val="00557F41"/>
    <w:rsid w:val="005639A7"/>
    <w:rsid w:val="00563B48"/>
    <w:rsid w:val="005663DE"/>
    <w:rsid w:val="00567B1A"/>
    <w:rsid w:val="00570A03"/>
    <w:rsid w:val="00571C69"/>
    <w:rsid w:val="005738CF"/>
    <w:rsid w:val="00573DF8"/>
    <w:rsid w:val="00574B66"/>
    <w:rsid w:val="0058132E"/>
    <w:rsid w:val="00582129"/>
    <w:rsid w:val="00584E6B"/>
    <w:rsid w:val="00591325"/>
    <w:rsid w:val="00592B5C"/>
    <w:rsid w:val="0059447A"/>
    <w:rsid w:val="00594550"/>
    <w:rsid w:val="00597032"/>
    <w:rsid w:val="005A5499"/>
    <w:rsid w:val="005A76BA"/>
    <w:rsid w:val="005A7B5E"/>
    <w:rsid w:val="005B0705"/>
    <w:rsid w:val="005B1687"/>
    <w:rsid w:val="005B1920"/>
    <w:rsid w:val="005B268F"/>
    <w:rsid w:val="005B2764"/>
    <w:rsid w:val="005B4AB0"/>
    <w:rsid w:val="005B6C0B"/>
    <w:rsid w:val="005B7A25"/>
    <w:rsid w:val="005C1CEC"/>
    <w:rsid w:val="005C28AE"/>
    <w:rsid w:val="005C3D61"/>
    <w:rsid w:val="005C62E5"/>
    <w:rsid w:val="005C66F1"/>
    <w:rsid w:val="005C75AB"/>
    <w:rsid w:val="005D176B"/>
    <w:rsid w:val="005D5555"/>
    <w:rsid w:val="005E0B87"/>
    <w:rsid w:val="005E0C11"/>
    <w:rsid w:val="005E1874"/>
    <w:rsid w:val="005E5AE6"/>
    <w:rsid w:val="005E6433"/>
    <w:rsid w:val="005E65C0"/>
    <w:rsid w:val="005F1350"/>
    <w:rsid w:val="005F27F1"/>
    <w:rsid w:val="005F4863"/>
    <w:rsid w:val="005F7EA3"/>
    <w:rsid w:val="0060036D"/>
    <w:rsid w:val="00602044"/>
    <w:rsid w:val="00602D79"/>
    <w:rsid w:val="00603266"/>
    <w:rsid w:val="00603963"/>
    <w:rsid w:val="00604B7C"/>
    <w:rsid w:val="00613FB3"/>
    <w:rsid w:val="00615029"/>
    <w:rsid w:val="00616546"/>
    <w:rsid w:val="00620984"/>
    <w:rsid w:val="00624D09"/>
    <w:rsid w:val="006271A1"/>
    <w:rsid w:val="00627E94"/>
    <w:rsid w:val="00631F7D"/>
    <w:rsid w:val="00632CB2"/>
    <w:rsid w:val="00632DD2"/>
    <w:rsid w:val="00633556"/>
    <w:rsid w:val="00636655"/>
    <w:rsid w:val="00637462"/>
    <w:rsid w:val="006460DD"/>
    <w:rsid w:val="00646C5E"/>
    <w:rsid w:val="00647080"/>
    <w:rsid w:val="00651DA0"/>
    <w:rsid w:val="00654982"/>
    <w:rsid w:val="00657447"/>
    <w:rsid w:val="00660357"/>
    <w:rsid w:val="00661718"/>
    <w:rsid w:val="00661AF8"/>
    <w:rsid w:val="006624A4"/>
    <w:rsid w:val="00672789"/>
    <w:rsid w:val="00674770"/>
    <w:rsid w:val="00676E0C"/>
    <w:rsid w:val="00682F6D"/>
    <w:rsid w:val="0068326C"/>
    <w:rsid w:val="006851EB"/>
    <w:rsid w:val="00685707"/>
    <w:rsid w:val="0069013C"/>
    <w:rsid w:val="00692AAA"/>
    <w:rsid w:val="006936D1"/>
    <w:rsid w:val="00694201"/>
    <w:rsid w:val="006A0246"/>
    <w:rsid w:val="006A1143"/>
    <w:rsid w:val="006A2EA6"/>
    <w:rsid w:val="006B00F2"/>
    <w:rsid w:val="006B0B3E"/>
    <w:rsid w:val="006B13F9"/>
    <w:rsid w:val="006B2423"/>
    <w:rsid w:val="006B2610"/>
    <w:rsid w:val="006B4487"/>
    <w:rsid w:val="006B47A8"/>
    <w:rsid w:val="006B4B0E"/>
    <w:rsid w:val="006B62F6"/>
    <w:rsid w:val="006B63AF"/>
    <w:rsid w:val="006B66D6"/>
    <w:rsid w:val="006C06E9"/>
    <w:rsid w:val="006D1556"/>
    <w:rsid w:val="006D1FD1"/>
    <w:rsid w:val="006D31D3"/>
    <w:rsid w:val="006D3F68"/>
    <w:rsid w:val="006D42A3"/>
    <w:rsid w:val="006E1871"/>
    <w:rsid w:val="006E3C53"/>
    <w:rsid w:val="006E4DC2"/>
    <w:rsid w:val="006E642E"/>
    <w:rsid w:val="006E7C73"/>
    <w:rsid w:val="006F1FB0"/>
    <w:rsid w:val="006F276B"/>
    <w:rsid w:val="006F45F9"/>
    <w:rsid w:val="006F5BA0"/>
    <w:rsid w:val="006F6A45"/>
    <w:rsid w:val="0070199E"/>
    <w:rsid w:val="00701DA0"/>
    <w:rsid w:val="0071048A"/>
    <w:rsid w:val="007128DF"/>
    <w:rsid w:val="007144EB"/>
    <w:rsid w:val="007220E0"/>
    <w:rsid w:val="0072317A"/>
    <w:rsid w:val="007245F7"/>
    <w:rsid w:val="0072538B"/>
    <w:rsid w:val="00726A1E"/>
    <w:rsid w:val="00727382"/>
    <w:rsid w:val="00727809"/>
    <w:rsid w:val="007309F6"/>
    <w:rsid w:val="00731214"/>
    <w:rsid w:val="00731BF9"/>
    <w:rsid w:val="007320B3"/>
    <w:rsid w:val="0073378D"/>
    <w:rsid w:val="0073444F"/>
    <w:rsid w:val="00734883"/>
    <w:rsid w:val="0073587D"/>
    <w:rsid w:val="00743014"/>
    <w:rsid w:val="0074417C"/>
    <w:rsid w:val="00745872"/>
    <w:rsid w:val="00746538"/>
    <w:rsid w:val="007466E6"/>
    <w:rsid w:val="00746D55"/>
    <w:rsid w:val="00747857"/>
    <w:rsid w:val="007562E9"/>
    <w:rsid w:val="00756D1E"/>
    <w:rsid w:val="007574F4"/>
    <w:rsid w:val="00760107"/>
    <w:rsid w:val="00761328"/>
    <w:rsid w:val="007614E9"/>
    <w:rsid w:val="0076324C"/>
    <w:rsid w:val="007754EB"/>
    <w:rsid w:val="00775FE4"/>
    <w:rsid w:val="007771F5"/>
    <w:rsid w:val="00783219"/>
    <w:rsid w:val="00787F01"/>
    <w:rsid w:val="00790367"/>
    <w:rsid w:val="00790561"/>
    <w:rsid w:val="0079213C"/>
    <w:rsid w:val="00792B29"/>
    <w:rsid w:val="00796572"/>
    <w:rsid w:val="007A06FE"/>
    <w:rsid w:val="007B0C2B"/>
    <w:rsid w:val="007B0F5E"/>
    <w:rsid w:val="007B45F8"/>
    <w:rsid w:val="007B4C3B"/>
    <w:rsid w:val="007B6891"/>
    <w:rsid w:val="007C303F"/>
    <w:rsid w:val="007C7326"/>
    <w:rsid w:val="007C7641"/>
    <w:rsid w:val="007D10BB"/>
    <w:rsid w:val="007D28D1"/>
    <w:rsid w:val="007D488F"/>
    <w:rsid w:val="007D4D91"/>
    <w:rsid w:val="007D7F8E"/>
    <w:rsid w:val="007E4A59"/>
    <w:rsid w:val="007E6B2D"/>
    <w:rsid w:val="007E734E"/>
    <w:rsid w:val="007F4585"/>
    <w:rsid w:val="007F470D"/>
    <w:rsid w:val="007F474F"/>
    <w:rsid w:val="007F506D"/>
    <w:rsid w:val="007F591A"/>
    <w:rsid w:val="007F7C30"/>
    <w:rsid w:val="0080392F"/>
    <w:rsid w:val="00807690"/>
    <w:rsid w:val="00807975"/>
    <w:rsid w:val="00812B0A"/>
    <w:rsid w:val="00813B7D"/>
    <w:rsid w:val="00813DD3"/>
    <w:rsid w:val="00815454"/>
    <w:rsid w:val="00821639"/>
    <w:rsid w:val="00830E1B"/>
    <w:rsid w:val="00831D91"/>
    <w:rsid w:val="0083506D"/>
    <w:rsid w:val="00836748"/>
    <w:rsid w:val="00837220"/>
    <w:rsid w:val="0084172F"/>
    <w:rsid w:val="00844AB1"/>
    <w:rsid w:val="00845031"/>
    <w:rsid w:val="008467AC"/>
    <w:rsid w:val="008509B8"/>
    <w:rsid w:val="00851ECE"/>
    <w:rsid w:val="00852AD0"/>
    <w:rsid w:val="00857ACE"/>
    <w:rsid w:val="008606FE"/>
    <w:rsid w:val="0086279F"/>
    <w:rsid w:val="00862DE4"/>
    <w:rsid w:val="008632E4"/>
    <w:rsid w:val="008636D4"/>
    <w:rsid w:val="0088575B"/>
    <w:rsid w:val="0088609A"/>
    <w:rsid w:val="008877DC"/>
    <w:rsid w:val="0089155F"/>
    <w:rsid w:val="00891B84"/>
    <w:rsid w:val="00893857"/>
    <w:rsid w:val="00894127"/>
    <w:rsid w:val="00894736"/>
    <w:rsid w:val="00895DA0"/>
    <w:rsid w:val="008A12E2"/>
    <w:rsid w:val="008A4D08"/>
    <w:rsid w:val="008A65BE"/>
    <w:rsid w:val="008B794D"/>
    <w:rsid w:val="008C1E1B"/>
    <w:rsid w:val="008C59C9"/>
    <w:rsid w:val="008C6A07"/>
    <w:rsid w:val="008C7B4F"/>
    <w:rsid w:val="008D092A"/>
    <w:rsid w:val="008D0D85"/>
    <w:rsid w:val="008D3185"/>
    <w:rsid w:val="008D4DFA"/>
    <w:rsid w:val="008E1C0F"/>
    <w:rsid w:val="008E2BB0"/>
    <w:rsid w:val="008E604F"/>
    <w:rsid w:val="008E790E"/>
    <w:rsid w:val="008E7AD4"/>
    <w:rsid w:val="008E7E76"/>
    <w:rsid w:val="008F097C"/>
    <w:rsid w:val="008F1227"/>
    <w:rsid w:val="008F1F18"/>
    <w:rsid w:val="008F3CB1"/>
    <w:rsid w:val="008F4356"/>
    <w:rsid w:val="0090159B"/>
    <w:rsid w:val="00901AF8"/>
    <w:rsid w:val="00902345"/>
    <w:rsid w:val="009028B1"/>
    <w:rsid w:val="00904D67"/>
    <w:rsid w:val="009127C3"/>
    <w:rsid w:val="009177AA"/>
    <w:rsid w:val="00917AE4"/>
    <w:rsid w:val="00921230"/>
    <w:rsid w:val="0092246A"/>
    <w:rsid w:val="00924240"/>
    <w:rsid w:val="00924316"/>
    <w:rsid w:val="00924C17"/>
    <w:rsid w:val="00930F81"/>
    <w:rsid w:val="00932C46"/>
    <w:rsid w:val="00932FAE"/>
    <w:rsid w:val="00933F0D"/>
    <w:rsid w:val="00937ED8"/>
    <w:rsid w:val="009524D6"/>
    <w:rsid w:val="00954537"/>
    <w:rsid w:val="0095457C"/>
    <w:rsid w:val="009564C2"/>
    <w:rsid w:val="00956E1B"/>
    <w:rsid w:val="00962604"/>
    <w:rsid w:val="00962649"/>
    <w:rsid w:val="00962857"/>
    <w:rsid w:val="009641CB"/>
    <w:rsid w:val="00972CE7"/>
    <w:rsid w:val="00974E85"/>
    <w:rsid w:val="00975179"/>
    <w:rsid w:val="00976B80"/>
    <w:rsid w:val="00977672"/>
    <w:rsid w:val="009776FE"/>
    <w:rsid w:val="00977F6D"/>
    <w:rsid w:val="00980688"/>
    <w:rsid w:val="00981387"/>
    <w:rsid w:val="009813BC"/>
    <w:rsid w:val="00983EE2"/>
    <w:rsid w:val="009840B8"/>
    <w:rsid w:val="0098518A"/>
    <w:rsid w:val="00990699"/>
    <w:rsid w:val="00994A78"/>
    <w:rsid w:val="009A0103"/>
    <w:rsid w:val="009A1C69"/>
    <w:rsid w:val="009A1F42"/>
    <w:rsid w:val="009A377A"/>
    <w:rsid w:val="009A45BB"/>
    <w:rsid w:val="009A54F9"/>
    <w:rsid w:val="009A606B"/>
    <w:rsid w:val="009B3358"/>
    <w:rsid w:val="009B33A7"/>
    <w:rsid w:val="009B3997"/>
    <w:rsid w:val="009B4804"/>
    <w:rsid w:val="009B5A06"/>
    <w:rsid w:val="009B6940"/>
    <w:rsid w:val="009B7313"/>
    <w:rsid w:val="009C1962"/>
    <w:rsid w:val="009C6F3A"/>
    <w:rsid w:val="009C7DAF"/>
    <w:rsid w:val="009D096E"/>
    <w:rsid w:val="009D2497"/>
    <w:rsid w:val="009D2B46"/>
    <w:rsid w:val="009D3C3B"/>
    <w:rsid w:val="009D7BBC"/>
    <w:rsid w:val="009E0740"/>
    <w:rsid w:val="009E130F"/>
    <w:rsid w:val="009E4E3D"/>
    <w:rsid w:val="009E6337"/>
    <w:rsid w:val="009E75FC"/>
    <w:rsid w:val="009F2522"/>
    <w:rsid w:val="009F3832"/>
    <w:rsid w:val="009F498F"/>
    <w:rsid w:val="009F546D"/>
    <w:rsid w:val="00A013EB"/>
    <w:rsid w:val="00A01EDB"/>
    <w:rsid w:val="00A0292A"/>
    <w:rsid w:val="00A04DED"/>
    <w:rsid w:val="00A11650"/>
    <w:rsid w:val="00A12B73"/>
    <w:rsid w:val="00A131B6"/>
    <w:rsid w:val="00A17C51"/>
    <w:rsid w:val="00A17D6C"/>
    <w:rsid w:val="00A2002A"/>
    <w:rsid w:val="00A2075D"/>
    <w:rsid w:val="00A22500"/>
    <w:rsid w:val="00A227EA"/>
    <w:rsid w:val="00A23D73"/>
    <w:rsid w:val="00A2666A"/>
    <w:rsid w:val="00A32EDA"/>
    <w:rsid w:val="00A33ABB"/>
    <w:rsid w:val="00A351E0"/>
    <w:rsid w:val="00A37039"/>
    <w:rsid w:val="00A40251"/>
    <w:rsid w:val="00A41DB5"/>
    <w:rsid w:val="00A426DE"/>
    <w:rsid w:val="00A44409"/>
    <w:rsid w:val="00A44C65"/>
    <w:rsid w:val="00A45052"/>
    <w:rsid w:val="00A46B34"/>
    <w:rsid w:val="00A50502"/>
    <w:rsid w:val="00A50523"/>
    <w:rsid w:val="00A51B57"/>
    <w:rsid w:val="00A527E8"/>
    <w:rsid w:val="00A52880"/>
    <w:rsid w:val="00A5307F"/>
    <w:rsid w:val="00A54D96"/>
    <w:rsid w:val="00A55598"/>
    <w:rsid w:val="00A636EA"/>
    <w:rsid w:val="00A63B7B"/>
    <w:rsid w:val="00A65A74"/>
    <w:rsid w:val="00A65E34"/>
    <w:rsid w:val="00A6687F"/>
    <w:rsid w:val="00A6716E"/>
    <w:rsid w:val="00A67666"/>
    <w:rsid w:val="00A70FD5"/>
    <w:rsid w:val="00A72D29"/>
    <w:rsid w:val="00A747AE"/>
    <w:rsid w:val="00A74F74"/>
    <w:rsid w:val="00A8244A"/>
    <w:rsid w:val="00A831E5"/>
    <w:rsid w:val="00A846AB"/>
    <w:rsid w:val="00A85326"/>
    <w:rsid w:val="00A8681D"/>
    <w:rsid w:val="00A91CB8"/>
    <w:rsid w:val="00A94AAB"/>
    <w:rsid w:val="00AA18CE"/>
    <w:rsid w:val="00AA62E1"/>
    <w:rsid w:val="00AA7933"/>
    <w:rsid w:val="00AA7A25"/>
    <w:rsid w:val="00AB1BC5"/>
    <w:rsid w:val="00AB40A8"/>
    <w:rsid w:val="00AB44BE"/>
    <w:rsid w:val="00AB5939"/>
    <w:rsid w:val="00AB6F6A"/>
    <w:rsid w:val="00AB7A00"/>
    <w:rsid w:val="00AC192D"/>
    <w:rsid w:val="00AC3528"/>
    <w:rsid w:val="00AD4C58"/>
    <w:rsid w:val="00AD66F2"/>
    <w:rsid w:val="00AE0FFC"/>
    <w:rsid w:val="00AE5643"/>
    <w:rsid w:val="00AE5B80"/>
    <w:rsid w:val="00AE6DFE"/>
    <w:rsid w:val="00AF2073"/>
    <w:rsid w:val="00AF585E"/>
    <w:rsid w:val="00AF7AEC"/>
    <w:rsid w:val="00B01DFD"/>
    <w:rsid w:val="00B03374"/>
    <w:rsid w:val="00B0452A"/>
    <w:rsid w:val="00B054BF"/>
    <w:rsid w:val="00B0566F"/>
    <w:rsid w:val="00B061E1"/>
    <w:rsid w:val="00B07030"/>
    <w:rsid w:val="00B07A9B"/>
    <w:rsid w:val="00B100D3"/>
    <w:rsid w:val="00B101E4"/>
    <w:rsid w:val="00B1043E"/>
    <w:rsid w:val="00B12ABE"/>
    <w:rsid w:val="00B23B52"/>
    <w:rsid w:val="00B2621E"/>
    <w:rsid w:val="00B31CA8"/>
    <w:rsid w:val="00B35148"/>
    <w:rsid w:val="00B36493"/>
    <w:rsid w:val="00B41B6E"/>
    <w:rsid w:val="00B46071"/>
    <w:rsid w:val="00B46A70"/>
    <w:rsid w:val="00B47212"/>
    <w:rsid w:val="00B50A4B"/>
    <w:rsid w:val="00B51894"/>
    <w:rsid w:val="00B52354"/>
    <w:rsid w:val="00B5253A"/>
    <w:rsid w:val="00B55311"/>
    <w:rsid w:val="00B555AC"/>
    <w:rsid w:val="00B61448"/>
    <w:rsid w:val="00B618D1"/>
    <w:rsid w:val="00B62A5F"/>
    <w:rsid w:val="00B6399E"/>
    <w:rsid w:val="00B64FF9"/>
    <w:rsid w:val="00B7475C"/>
    <w:rsid w:val="00B75E98"/>
    <w:rsid w:val="00B76B43"/>
    <w:rsid w:val="00B77060"/>
    <w:rsid w:val="00B7727E"/>
    <w:rsid w:val="00B81028"/>
    <w:rsid w:val="00B8479C"/>
    <w:rsid w:val="00B8637E"/>
    <w:rsid w:val="00B906B5"/>
    <w:rsid w:val="00B9188E"/>
    <w:rsid w:val="00B92A66"/>
    <w:rsid w:val="00B9338A"/>
    <w:rsid w:val="00B943AF"/>
    <w:rsid w:val="00BA3A9D"/>
    <w:rsid w:val="00BA7D58"/>
    <w:rsid w:val="00BB1073"/>
    <w:rsid w:val="00BB6B3D"/>
    <w:rsid w:val="00BB7C21"/>
    <w:rsid w:val="00BC0AC1"/>
    <w:rsid w:val="00BC2168"/>
    <w:rsid w:val="00BC50C5"/>
    <w:rsid w:val="00BC6E88"/>
    <w:rsid w:val="00BD1339"/>
    <w:rsid w:val="00BD1F1D"/>
    <w:rsid w:val="00BD35CA"/>
    <w:rsid w:val="00BD579B"/>
    <w:rsid w:val="00BD6215"/>
    <w:rsid w:val="00BE1DDC"/>
    <w:rsid w:val="00BE29D9"/>
    <w:rsid w:val="00BE5E82"/>
    <w:rsid w:val="00BF194E"/>
    <w:rsid w:val="00BF3B88"/>
    <w:rsid w:val="00BF54A1"/>
    <w:rsid w:val="00BF6DD3"/>
    <w:rsid w:val="00C0120D"/>
    <w:rsid w:val="00C1219D"/>
    <w:rsid w:val="00C1303F"/>
    <w:rsid w:val="00C132A0"/>
    <w:rsid w:val="00C16153"/>
    <w:rsid w:val="00C170EF"/>
    <w:rsid w:val="00C17BD6"/>
    <w:rsid w:val="00C20EF7"/>
    <w:rsid w:val="00C21C0F"/>
    <w:rsid w:val="00C2334D"/>
    <w:rsid w:val="00C25EE4"/>
    <w:rsid w:val="00C266D9"/>
    <w:rsid w:val="00C30805"/>
    <w:rsid w:val="00C33D6E"/>
    <w:rsid w:val="00C409FD"/>
    <w:rsid w:val="00C53853"/>
    <w:rsid w:val="00C562B8"/>
    <w:rsid w:val="00C56F6D"/>
    <w:rsid w:val="00C57CE1"/>
    <w:rsid w:val="00C6196F"/>
    <w:rsid w:val="00C6460B"/>
    <w:rsid w:val="00C66B8A"/>
    <w:rsid w:val="00C72149"/>
    <w:rsid w:val="00C73FE0"/>
    <w:rsid w:val="00C749BD"/>
    <w:rsid w:val="00C81660"/>
    <w:rsid w:val="00C821F6"/>
    <w:rsid w:val="00C85BA2"/>
    <w:rsid w:val="00C85DB6"/>
    <w:rsid w:val="00C90AB6"/>
    <w:rsid w:val="00C92F51"/>
    <w:rsid w:val="00C93363"/>
    <w:rsid w:val="00C96529"/>
    <w:rsid w:val="00C97588"/>
    <w:rsid w:val="00CA17CE"/>
    <w:rsid w:val="00CA3766"/>
    <w:rsid w:val="00CA3825"/>
    <w:rsid w:val="00CA5D16"/>
    <w:rsid w:val="00CB0961"/>
    <w:rsid w:val="00CB120A"/>
    <w:rsid w:val="00CB1ADF"/>
    <w:rsid w:val="00CB1AE9"/>
    <w:rsid w:val="00CB359C"/>
    <w:rsid w:val="00CB471C"/>
    <w:rsid w:val="00CB63AC"/>
    <w:rsid w:val="00CB64CC"/>
    <w:rsid w:val="00CC2308"/>
    <w:rsid w:val="00CC5916"/>
    <w:rsid w:val="00CD016A"/>
    <w:rsid w:val="00CD0286"/>
    <w:rsid w:val="00CD32EB"/>
    <w:rsid w:val="00CD5062"/>
    <w:rsid w:val="00CD6043"/>
    <w:rsid w:val="00CD7017"/>
    <w:rsid w:val="00CE1A76"/>
    <w:rsid w:val="00CE5678"/>
    <w:rsid w:val="00CE7EBB"/>
    <w:rsid w:val="00CF0691"/>
    <w:rsid w:val="00CF28E4"/>
    <w:rsid w:val="00CF2AA8"/>
    <w:rsid w:val="00CF4F14"/>
    <w:rsid w:val="00CF793C"/>
    <w:rsid w:val="00D0025A"/>
    <w:rsid w:val="00D00F94"/>
    <w:rsid w:val="00D00F9C"/>
    <w:rsid w:val="00D038C7"/>
    <w:rsid w:val="00D03BC5"/>
    <w:rsid w:val="00D041CC"/>
    <w:rsid w:val="00D04299"/>
    <w:rsid w:val="00D0467F"/>
    <w:rsid w:val="00D04D41"/>
    <w:rsid w:val="00D05773"/>
    <w:rsid w:val="00D06C0A"/>
    <w:rsid w:val="00D07A99"/>
    <w:rsid w:val="00D174E9"/>
    <w:rsid w:val="00D20A2B"/>
    <w:rsid w:val="00D225BC"/>
    <w:rsid w:val="00D25465"/>
    <w:rsid w:val="00D265A8"/>
    <w:rsid w:val="00D310CE"/>
    <w:rsid w:val="00D3135E"/>
    <w:rsid w:val="00D31608"/>
    <w:rsid w:val="00D31B52"/>
    <w:rsid w:val="00D31C3B"/>
    <w:rsid w:val="00D34D6A"/>
    <w:rsid w:val="00D36414"/>
    <w:rsid w:val="00D422DC"/>
    <w:rsid w:val="00D46A39"/>
    <w:rsid w:val="00D46EE8"/>
    <w:rsid w:val="00D4714F"/>
    <w:rsid w:val="00D5241B"/>
    <w:rsid w:val="00D56D34"/>
    <w:rsid w:val="00D623B6"/>
    <w:rsid w:val="00D64384"/>
    <w:rsid w:val="00D71203"/>
    <w:rsid w:val="00D716D2"/>
    <w:rsid w:val="00D72AEF"/>
    <w:rsid w:val="00D74F5A"/>
    <w:rsid w:val="00D7793D"/>
    <w:rsid w:val="00D800BB"/>
    <w:rsid w:val="00D8150C"/>
    <w:rsid w:val="00D84C7B"/>
    <w:rsid w:val="00D84E95"/>
    <w:rsid w:val="00D87054"/>
    <w:rsid w:val="00D919D1"/>
    <w:rsid w:val="00D922B2"/>
    <w:rsid w:val="00D9490C"/>
    <w:rsid w:val="00DA20A9"/>
    <w:rsid w:val="00DA2D87"/>
    <w:rsid w:val="00DA496D"/>
    <w:rsid w:val="00DA4A53"/>
    <w:rsid w:val="00DA7EAC"/>
    <w:rsid w:val="00DB0BE2"/>
    <w:rsid w:val="00DB1C77"/>
    <w:rsid w:val="00DB32EE"/>
    <w:rsid w:val="00DB3EBA"/>
    <w:rsid w:val="00DB4B16"/>
    <w:rsid w:val="00DB4DE1"/>
    <w:rsid w:val="00DB579F"/>
    <w:rsid w:val="00DC29B1"/>
    <w:rsid w:val="00DC3CAC"/>
    <w:rsid w:val="00DC4BBE"/>
    <w:rsid w:val="00DC5162"/>
    <w:rsid w:val="00DD3A3B"/>
    <w:rsid w:val="00DD4FCE"/>
    <w:rsid w:val="00DE17BD"/>
    <w:rsid w:val="00DE2F1C"/>
    <w:rsid w:val="00DE4816"/>
    <w:rsid w:val="00DE4EE5"/>
    <w:rsid w:val="00DE7AAB"/>
    <w:rsid w:val="00DF0348"/>
    <w:rsid w:val="00DF1383"/>
    <w:rsid w:val="00DF4360"/>
    <w:rsid w:val="00DF5D22"/>
    <w:rsid w:val="00DF7BE0"/>
    <w:rsid w:val="00E01BEF"/>
    <w:rsid w:val="00E0508F"/>
    <w:rsid w:val="00E12EE2"/>
    <w:rsid w:val="00E14863"/>
    <w:rsid w:val="00E14B46"/>
    <w:rsid w:val="00E1609C"/>
    <w:rsid w:val="00E21621"/>
    <w:rsid w:val="00E21746"/>
    <w:rsid w:val="00E22145"/>
    <w:rsid w:val="00E23E47"/>
    <w:rsid w:val="00E253A5"/>
    <w:rsid w:val="00E32AE0"/>
    <w:rsid w:val="00E346EC"/>
    <w:rsid w:val="00E35341"/>
    <w:rsid w:val="00E36602"/>
    <w:rsid w:val="00E36C82"/>
    <w:rsid w:val="00E452CC"/>
    <w:rsid w:val="00E562CB"/>
    <w:rsid w:val="00E56875"/>
    <w:rsid w:val="00E57AE8"/>
    <w:rsid w:val="00E623B2"/>
    <w:rsid w:val="00E643E5"/>
    <w:rsid w:val="00E670A0"/>
    <w:rsid w:val="00E72AFB"/>
    <w:rsid w:val="00E734F5"/>
    <w:rsid w:val="00E747E4"/>
    <w:rsid w:val="00E74C6B"/>
    <w:rsid w:val="00E75DA5"/>
    <w:rsid w:val="00E76F11"/>
    <w:rsid w:val="00E76F63"/>
    <w:rsid w:val="00E7746F"/>
    <w:rsid w:val="00E80581"/>
    <w:rsid w:val="00E82658"/>
    <w:rsid w:val="00E827D7"/>
    <w:rsid w:val="00E83B9D"/>
    <w:rsid w:val="00E866D4"/>
    <w:rsid w:val="00E9013E"/>
    <w:rsid w:val="00E927A1"/>
    <w:rsid w:val="00E92DA3"/>
    <w:rsid w:val="00E93B79"/>
    <w:rsid w:val="00E97281"/>
    <w:rsid w:val="00EA00CE"/>
    <w:rsid w:val="00EA03A5"/>
    <w:rsid w:val="00EA1313"/>
    <w:rsid w:val="00EA6183"/>
    <w:rsid w:val="00EA6CC5"/>
    <w:rsid w:val="00EC34B7"/>
    <w:rsid w:val="00EC3E04"/>
    <w:rsid w:val="00EC4119"/>
    <w:rsid w:val="00EC613B"/>
    <w:rsid w:val="00EC7BC1"/>
    <w:rsid w:val="00ED1658"/>
    <w:rsid w:val="00ED1753"/>
    <w:rsid w:val="00ED29E0"/>
    <w:rsid w:val="00ED6BEE"/>
    <w:rsid w:val="00ED73BC"/>
    <w:rsid w:val="00ED7451"/>
    <w:rsid w:val="00ED781C"/>
    <w:rsid w:val="00EE26C8"/>
    <w:rsid w:val="00EE540A"/>
    <w:rsid w:val="00EE6F14"/>
    <w:rsid w:val="00EF1632"/>
    <w:rsid w:val="00EF1A45"/>
    <w:rsid w:val="00EF2FA2"/>
    <w:rsid w:val="00F00553"/>
    <w:rsid w:val="00F013FF"/>
    <w:rsid w:val="00F02BCF"/>
    <w:rsid w:val="00F02D8B"/>
    <w:rsid w:val="00F02E1D"/>
    <w:rsid w:val="00F03DFF"/>
    <w:rsid w:val="00F0401B"/>
    <w:rsid w:val="00F06319"/>
    <w:rsid w:val="00F11A40"/>
    <w:rsid w:val="00F11F58"/>
    <w:rsid w:val="00F136E3"/>
    <w:rsid w:val="00F15D50"/>
    <w:rsid w:val="00F16F8A"/>
    <w:rsid w:val="00F170E5"/>
    <w:rsid w:val="00F1775C"/>
    <w:rsid w:val="00F221A2"/>
    <w:rsid w:val="00F222BA"/>
    <w:rsid w:val="00F2723C"/>
    <w:rsid w:val="00F30545"/>
    <w:rsid w:val="00F3139D"/>
    <w:rsid w:val="00F359F7"/>
    <w:rsid w:val="00F35E51"/>
    <w:rsid w:val="00F36E6F"/>
    <w:rsid w:val="00F374E5"/>
    <w:rsid w:val="00F44908"/>
    <w:rsid w:val="00F4511F"/>
    <w:rsid w:val="00F529B0"/>
    <w:rsid w:val="00F5345E"/>
    <w:rsid w:val="00F55799"/>
    <w:rsid w:val="00F558B0"/>
    <w:rsid w:val="00F55904"/>
    <w:rsid w:val="00F628CD"/>
    <w:rsid w:val="00F63F93"/>
    <w:rsid w:val="00F70909"/>
    <w:rsid w:val="00F753BE"/>
    <w:rsid w:val="00F76E23"/>
    <w:rsid w:val="00F8485B"/>
    <w:rsid w:val="00F85BC5"/>
    <w:rsid w:val="00F863E8"/>
    <w:rsid w:val="00F9365F"/>
    <w:rsid w:val="00F950FB"/>
    <w:rsid w:val="00F951B4"/>
    <w:rsid w:val="00FA13AC"/>
    <w:rsid w:val="00FA5287"/>
    <w:rsid w:val="00FA7B72"/>
    <w:rsid w:val="00FB095A"/>
    <w:rsid w:val="00FB124F"/>
    <w:rsid w:val="00FB2BF0"/>
    <w:rsid w:val="00FB5E39"/>
    <w:rsid w:val="00FC1882"/>
    <w:rsid w:val="00FC4A04"/>
    <w:rsid w:val="00FC53B9"/>
    <w:rsid w:val="00FC59C8"/>
    <w:rsid w:val="00FD0DA4"/>
    <w:rsid w:val="00FD2C84"/>
    <w:rsid w:val="00FD357A"/>
    <w:rsid w:val="00FD36BB"/>
    <w:rsid w:val="00FD3C89"/>
    <w:rsid w:val="00FD76D6"/>
    <w:rsid w:val="00FE20A5"/>
    <w:rsid w:val="00FE3E00"/>
    <w:rsid w:val="00FF1033"/>
    <w:rsid w:val="00FF1F93"/>
    <w:rsid w:val="00FF2E68"/>
    <w:rsid w:val="00FF3891"/>
    <w:rsid w:val="00FF38BA"/>
    <w:rsid w:val="00FF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2E9C"/>
  <w15:chartTrackingRefBased/>
  <w15:docId w15:val="{9DFE8C25-80E0-4D68-A67F-D8626566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AAB"/>
    <w:pPr>
      <w:spacing w:after="120" w:line="276" w:lineRule="auto"/>
    </w:pPr>
    <w:rPr>
      <w:rFonts w:asciiTheme="majorHAnsi" w:hAnsiTheme="majorHAnsi" w:cstheme="majorBidi"/>
    </w:rPr>
  </w:style>
  <w:style w:type="paragraph" w:styleId="Heading1">
    <w:name w:val="heading 1"/>
    <w:basedOn w:val="Normal"/>
    <w:next w:val="Normal"/>
    <w:link w:val="Heading1Char"/>
    <w:uiPriority w:val="9"/>
    <w:qFormat/>
    <w:rsid w:val="00A94A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94A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94A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A94A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94A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94A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94A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94A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94A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AAB"/>
    <w:rPr>
      <w:rFonts w:asciiTheme="majorHAnsi" w:hAnsiTheme="majorHAnsi" w:cstheme="majorBidi"/>
      <w:smallCaps/>
      <w:spacing w:val="5"/>
      <w:sz w:val="36"/>
      <w:szCs w:val="36"/>
    </w:rPr>
  </w:style>
  <w:style w:type="character" w:customStyle="1" w:styleId="Heading2Char">
    <w:name w:val="Heading 2 Char"/>
    <w:basedOn w:val="DefaultParagraphFont"/>
    <w:link w:val="Heading2"/>
    <w:uiPriority w:val="9"/>
    <w:rsid w:val="00A94AAB"/>
    <w:rPr>
      <w:rFonts w:asciiTheme="majorHAnsi" w:hAnsiTheme="majorHAnsi" w:cstheme="majorBidi"/>
      <w:smallCaps/>
      <w:sz w:val="28"/>
      <w:szCs w:val="28"/>
    </w:rPr>
  </w:style>
  <w:style w:type="character" w:customStyle="1" w:styleId="Heading3Char">
    <w:name w:val="Heading 3 Char"/>
    <w:basedOn w:val="DefaultParagraphFont"/>
    <w:link w:val="Heading3"/>
    <w:uiPriority w:val="9"/>
    <w:semiHidden/>
    <w:rsid w:val="00A94AAB"/>
    <w:rPr>
      <w:rFonts w:asciiTheme="majorHAnsi" w:hAnsiTheme="majorHAnsi" w:cstheme="majorBidi"/>
      <w:i/>
      <w:iCs/>
      <w:smallCaps/>
      <w:spacing w:val="5"/>
      <w:sz w:val="26"/>
      <w:szCs w:val="26"/>
    </w:rPr>
  </w:style>
  <w:style w:type="character" w:customStyle="1" w:styleId="Heading4Char">
    <w:name w:val="Heading 4 Char"/>
    <w:basedOn w:val="DefaultParagraphFont"/>
    <w:link w:val="Heading4"/>
    <w:uiPriority w:val="9"/>
    <w:rsid w:val="00A94AAB"/>
    <w:rPr>
      <w:rFonts w:asciiTheme="majorHAnsi" w:hAnsiTheme="majorHAnsi" w:cstheme="majorBidi"/>
      <w:b/>
      <w:bCs/>
      <w:spacing w:val="5"/>
      <w:sz w:val="24"/>
      <w:szCs w:val="24"/>
    </w:rPr>
  </w:style>
  <w:style w:type="character" w:customStyle="1" w:styleId="Heading5Char">
    <w:name w:val="Heading 5 Char"/>
    <w:basedOn w:val="DefaultParagraphFont"/>
    <w:link w:val="Heading5"/>
    <w:uiPriority w:val="9"/>
    <w:semiHidden/>
    <w:rsid w:val="00A94AAB"/>
    <w:rPr>
      <w:rFonts w:asciiTheme="majorHAnsi" w:hAnsiTheme="majorHAnsi" w:cstheme="majorBidi"/>
      <w:i/>
      <w:iCs/>
      <w:sz w:val="24"/>
      <w:szCs w:val="24"/>
    </w:rPr>
  </w:style>
  <w:style w:type="character" w:customStyle="1" w:styleId="Heading6Char">
    <w:name w:val="Heading 6 Char"/>
    <w:basedOn w:val="DefaultParagraphFont"/>
    <w:link w:val="Heading6"/>
    <w:uiPriority w:val="9"/>
    <w:semiHidden/>
    <w:rsid w:val="00A94AAB"/>
    <w:rPr>
      <w:rFonts w:asciiTheme="majorHAnsi" w:hAnsiTheme="majorHAnsi" w:cstheme="majorBid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94AAB"/>
    <w:rPr>
      <w:rFonts w:asciiTheme="majorHAnsi" w:hAnsiTheme="majorHAnsi"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A94AAB"/>
    <w:rPr>
      <w:rFonts w:asciiTheme="majorHAnsi" w:hAnsiTheme="majorHAnsi"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A94AAB"/>
    <w:rPr>
      <w:rFonts w:asciiTheme="majorHAnsi" w:hAnsiTheme="majorHAnsi" w:cstheme="majorBidi"/>
      <w:b/>
      <w:bCs/>
      <w:i/>
      <w:iCs/>
      <w:color w:val="7F7F7F" w:themeColor="text1" w:themeTint="80"/>
      <w:sz w:val="18"/>
      <w:szCs w:val="18"/>
    </w:rPr>
  </w:style>
  <w:style w:type="paragraph" w:styleId="Title">
    <w:name w:val="Title"/>
    <w:basedOn w:val="Normal"/>
    <w:next w:val="Normal"/>
    <w:link w:val="TitleChar"/>
    <w:uiPriority w:val="10"/>
    <w:qFormat/>
    <w:rsid w:val="00A94A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94AAB"/>
    <w:rPr>
      <w:rFonts w:asciiTheme="majorHAnsi" w:hAnsiTheme="majorHAnsi" w:cstheme="majorBidi"/>
      <w:smallCaps/>
      <w:sz w:val="52"/>
      <w:szCs w:val="52"/>
    </w:rPr>
  </w:style>
  <w:style w:type="paragraph" w:styleId="Subtitle">
    <w:name w:val="Subtitle"/>
    <w:basedOn w:val="Normal"/>
    <w:next w:val="Normal"/>
    <w:link w:val="SubtitleChar"/>
    <w:uiPriority w:val="11"/>
    <w:qFormat/>
    <w:rsid w:val="00A94AAB"/>
    <w:rPr>
      <w:i/>
      <w:iCs/>
      <w:smallCaps/>
      <w:spacing w:val="10"/>
      <w:sz w:val="28"/>
      <w:szCs w:val="28"/>
    </w:rPr>
  </w:style>
  <w:style w:type="character" w:customStyle="1" w:styleId="SubtitleChar">
    <w:name w:val="Subtitle Char"/>
    <w:basedOn w:val="DefaultParagraphFont"/>
    <w:link w:val="Subtitle"/>
    <w:uiPriority w:val="11"/>
    <w:rsid w:val="00A94AAB"/>
    <w:rPr>
      <w:rFonts w:asciiTheme="majorHAnsi" w:hAnsiTheme="majorHAnsi" w:cstheme="majorBidi"/>
      <w:i/>
      <w:iCs/>
      <w:smallCaps/>
      <w:spacing w:val="10"/>
      <w:sz w:val="28"/>
      <w:szCs w:val="28"/>
    </w:rPr>
  </w:style>
  <w:style w:type="character" w:styleId="Strong">
    <w:name w:val="Strong"/>
    <w:uiPriority w:val="22"/>
    <w:qFormat/>
    <w:rsid w:val="00A94AAB"/>
    <w:rPr>
      <w:b/>
      <w:bCs/>
    </w:rPr>
  </w:style>
  <w:style w:type="character" w:styleId="Emphasis">
    <w:name w:val="Emphasis"/>
    <w:uiPriority w:val="99"/>
    <w:qFormat/>
    <w:rsid w:val="00A94AAB"/>
    <w:rPr>
      <w:b/>
      <w:bCs/>
      <w:i/>
      <w:iCs/>
      <w:spacing w:val="10"/>
    </w:rPr>
  </w:style>
  <w:style w:type="paragraph" w:styleId="NoSpacing">
    <w:name w:val="No Spacing"/>
    <w:basedOn w:val="Normal"/>
    <w:link w:val="NoSpacingChar"/>
    <w:uiPriority w:val="1"/>
    <w:qFormat/>
    <w:rsid w:val="00A94AAB"/>
    <w:pPr>
      <w:spacing w:after="0" w:line="240" w:lineRule="auto"/>
    </w:pPr>
  </w:style>
  <w:style w:type="paragraph" w:styleId="ListParagraph">
    <w:name w:val="List Paragraph"/>
    <w:aliases w:val="Nornal 1"/>
    <w:basedOn w:val="Normal"/>
    <w:link w:val="ListParagraphChar"/>
    <w:uiPriority w:val="34"/>
    <w:qFormat/>
    <w:rsid w:val="00A94AAB"/>
    <w:pPr>
      <w:ind w:left="720"/>
      <w:contextualSpacing/>
    </w:pPr>
  </w:style>
  <w:style w:type="paragraph" w:styleId="Quote">
    <w:name w:val="Quote"/>
    <w:basedOn w:val="Normal"/>
    <w:next w:val="Normal"/>
    <w:link w:val="QuoteChar"/>
    <w:uiPriority w:val="29"/>
    <w:qFormat/>
    <w:rsid w:val="00A94AAB"/>
    <w:rPr>
      <w:i/>
      <w:iCs/>
    </w:rPr>
  </w:style>
  <w:style w:type="character" w:customStyle="1" w:styleId="QuoteChar">
    <w:name w:val="Quote Char"/>
    <w:basedOn w:val="DefaultParagraphFont"/>
    <w:link w:val="Quote"/>
    <w:uiPriority w:val="29"/>
    <w:rsid w:val="00A94AAB"/>
    <w:rPr>
      <w:rFonts w:asciiTheme="majorHAnsi" w:hAnsiTheme="majorHAnsi" w:cstheme="majorBidi"/>
      <w:i/>
      <w:iCs/>
    </w:rPr>
  </w:style>
  <w:style w:type="paragraph" w:styleId="IntenseQuote">
    <w:name w:val="Intense Quote"/>
    <w:basedOn w:val="Normal"/>
    <w:next w:val="Normal"/>
    <w:link w:val="IntenseQuoteChar"/>
    <w:uiPriority w:val="30"/>
    <w:qFormat/>
    <w:rsid w:val="00A94A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94AAB"/>
    <w:rPr>
      <w:rFonts w:asciiTheme="majorHAnsi" w:hAnsiTheme="majorHAnsi" w:cstheme="majorBidi"/>
      <w:i/>
      <w:iCs/>
    </w:rPr>
  </w:style>
  <w:style w:type="character" w:styleId="SubtleEmphasis">
    <w:name w:val="Subtle Emphasis"/>
    <w:uiPriority w:val="19"/>
    <w:qFormat/>
    <w:rsid w:val="00A94AAB"/>
    <w:rPr>
      <w:i/>
      <w:iCs/>
    </w:rPr>
  </w:style>
  <w:style w:type="character" w:styleId="IntenseEmphasis">
    <w:name w:val="Intense Emphasis"/>
    <w:uiPriority w:val="21"/>
    <w:qFormat/>
    <w:rsid w:val="00A94AAB"/>
    <w:rPr>
      <w:b/>
      <w:bCs/>
      <w:i/>
      <w:iCs/>
    </w:rPr>
  </w:style>
  <w:style w:type="character" w:styleId="SubtleReference">
    <w:name w:val="Subtle Reference"/>
    <w:basedOn w:val="DefaultParagraphFont"/>
    <w:uiPriority w:val="31"/>
    <w:qFormat/>
    <w:rsid w:val="00A94AAB"/>
    <w:rPr>
      <w:smallCaps/>
    </w:rPr>
  </w:style>
  <w:style w:type="character" w:styleId="IntenseReference">
    <w:name w:val="Intense Reference"/>
    <w:uiPriority w:val="32"/>
    <w:qFormat/>
    <w:rsid w:val="00A94AAB"/>
    <w:rPr>
      <w:b/>
      <w:bCs/>
      <w:smallCaps/>
    </w:rPr>
  </w:style>
  <w:style w:type="character" w:styleId="BookTitle">
    <w:name w:val="Book Title"/>
    <w:basedOn w:val="DefaultParagraphFont"/>
    <w:uiPriority w:val="33"/>
    <w:qFormat/>
    <w:rsid w:val="00A94AAB"/>
    <w:rPr>
      <w:i/>
      <w:iCs/>
      <w:smallCaps/>
      <w:spacing w:val="5"/>
    </w:rPr>
  </w:style>
  <w:style w:type="paragraph" w:styleId="TOCHeading">
    <w:name w:val="TOC Heading"/>
    <w:basedOn w:val="Heading1"/>
    <w:next w:val="Normal"/>
    <w:uiPriority w:val="39"/>
    <w:unhideWhenUsed/>
    <w:qFormat/>
    <w:rsid w:val="00A94AAB"/>
    <w:pPr>
      <w:outlineLvl w:val="9"/>
    </w:pPr>
    <w:rPr>
      <w:lang w:bidi="en-US"/>
    </w:rPr>
  </w:style>
  <w:style w:type="paragraph" w:styleId="BodyText">
    <w:name w:val="Body Text"/>
    <w:basedOn w:val="Normal"/>
    <w:link w:val="BodyTextChar"/>
    <w:uiPriority w:val="1"/>
    <w:qFormat/>
    <w:rsid w:val="00A94AA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94A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4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AAB"/>
    <w:rPr>
      <w:rFonts w:asciiTheme="majorHAnsi" w:hAnsiTheme="majorHAnsi" w:cstheme="majorBidi"/>
    </w:rPr>
  </w:style>
  <w:style w:type="paragraph" w:styleId="Footer">
    <w:name w:val="footer"/>
    <w:basedOn w:val="Normal"/>
    <w:link w:val="FooterChar"/>
    <w:uiPriority w:val="99"/>
    <w:unhideWhenUsed/>
    <w:rsid w:val="00A94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AAB"/>
    <w:rPr>
      <w:rFonts w:asciiTheme="majorHAnsi" w:hAnsiTheme="majorHAnsi" w:cstheme="majorBidi"/>
    </w:rPr>
  </w:style>
  <w:style w:type="paragraph" w:styleId="NormalWeb">
    <w:name w:val="Normal (Web)"/>
    <w:basedOn w:val="Normal"/>
    <w:uiPriority w:val="99"/>
    <w:unhideWhenUsed/>
    <w:rsid w:val="00A94AAB"/>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A94AAB"/>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A94AAB"/>
    <w:rPr>
      <w:sz w:val="20"/>
      <w:szCs w:val="20"/>
    </w:rPr>
  </w:style>
  <w:style w:type="paragraph" w:customStyle="1" w:styleId="Default">
    <w:name w:val="Default"/>
    <w:rsid w:val="00A94AAB"/>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A94AAB"/>
    <w:rPr>
      <w:sz w:val="16"/>
      <w:szCs w:val="16"/>
    </w:rPr>
  </w:style>
  <w:style w:type="character" w:customStyle="1" w:styleId="TOCIChar">
    <w:name w:val="TOC I Char"/>
    <w:basedOn w:val="DefaultParagraphFont"/>
    <w:link w:val="TOCI"/>
    <w:locked/>
    <w:rsid w:val="00A94AAB"/>
    <w:rPr>
      <w:rFonts w:ascii="Calibri" w:hAnsi="Calibri" w:cstheme="minorHAnsi"/>
      <w:iCs/>
      <w:color w:val="5B9BD5" w:themeColor="accent5"/>
      <w:sz w:val="24"/>
      <w:szCs w:val="24"/>
    </w:rPr>
  </w:style>
  <w:style w:type="paragraph" w:customStyle="1" w:styleId="TOCI">
    <w:name w:val="TOC I"/>
    <w:link w:val="TOCIChar"/>
    <w:qFormat/>
    <w:rsid w:val="00A94AAB"/>
    <w:pPr>
      <w:numPr>
        <w:numId w:val="2"/>
      </w:numPr>
      <w:spacing w:after="120" w:line="256" w:lineRule="auto"/>
    </w:pPr>
    <w:rPr>
      <w:rFonts w:ascii="Calibri" w:hAnsi="Calibri" w:cstheme="minorHAnsi"/>
      <w:iCs/>
      <w:color w:val="5B9BD5" w:themeColor="accent5"/>
      <w:sz w:val="24"/>
      <w:szCs w:val="24"/>
    </w:rPr>
  </w:style>
  <w:style w:type="table" w:styleId="GridTable4-Accent1">
    <w:name w:val="Grid Table 4 Accent 1"/>
    <w:basedOn w:val="TableNormal"/>
    <w:uiPriority w:val="49"/>
    <w:rsid w:val="00A94AAB"/>
    <w:pPr>
      <w:spacing w:after="0" w:line="240" w:lineRule="auto"/>
    </w:pPr>
    <w:rPr>
      <w:rFonts w:eastAsiaTheme="minorEastAsia"/>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A94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A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4AAB"/>
    <w:pPr>
      <w:spacing w:after="120"/>
    </w:pPr>
    <w:rPr>
      <w:rFonts w:asciiTheme="majorHAnsi" w:hAnsiTheme="majorHAnsi" w:cstheme="majorBidi"/>
      <w:b/>
      <w:bCs/>
    </w:rPr>
  </w:style>
  <w:style w:type="character" w:customStyle="1" w:styleId="CommentSubjectChar">
    <w:name w:val="Comment Subject Char"/>
    <w:basedOn w:val="CommentTextChar"/>
    <w:link w:val="CommentSubject"/>
    <w:uiPriority w:val="99"/>
    <w:semiHidden/>
    <w:rsid w:val="00A94AAB"/>
    <w:rPr>
      <w:rFonts w:asciiTheme="majorHAnsi" w:hAnsiTheme="majorHAnsi" w:cstheme="majorBidi"/>
      <w:b/>
      <w:bCs/>
      <w:sz w:val="20"/>
      <w:szCs w:val="20"/>
    </w:rPr>
  </w:style>
  <w:style w:type="paragraph" w:styleId="FootnoteText">
    <w:name w:val="footnote text"/>
    <w:basedOn w:val="Normal"/>
    <w:link w:val="FootnoteTextChar"/>
    <w:uiPriority w:val="99"/>
    <w:unhideWhenUsed/>
    <w:rsid w:val="00A94AAB"/>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94AAB"/>
    <w:rPr>
      <w:rFonts w:eastAsiaTheme="minorEastAsia"/>
      <w:sz w:val="20"/>
      <w:szCs w:val="20"/>
    </w:rPr>
  </w:style>
  <w:style w:type="character" w:styleId="FootnoteReference">
    <w:name w:val="footnote reference"/>
    <w:basedOn w:val="DefaultParagraphFont"/>
    <w:uiPriority w:val="99"/>
    <w:semiHidden/>
    <w:unhideWhenUsed/>
    <w:rsid w:val="00A94AAB"/>
    <w:rPr>
      <w:vertAlign w:val="superscript"/>
    </w:rPr>
  </w:style>
  <w:style w:type="paragraph" w:customStyle="1" w:styleId="Bullet1">
    <w:name w:val="Bullet 1"/>
    <w:basedOn w:val="Normal"/>
    <w:qFormat/>
    <w:rsid w:val="00A94AAB"/>
    <w:pPr>
      <w:numPr>
        <w:numId w:val="4"/>
      </w:numPr>
      <w:spacing w:before="60" w:after="60" w:line="264" w:lineRule="auto"/>
    </w:pPr>
    <w:rPr>
      <w:rFonts w:ascii="Arial" w:eastAsia="Times New Roman" w:hAnsi="Arial" w:cs="Times New Roman"/>
      <w:sz w:val="24"/>
      <w:szCs w:val="21"/>
    </w:rPr>
  </w:style>
  <w:style w:type="character" w:customStyle="1" w:styleId="ListParagraphChar">
    <w:name w:val="List Paragraph Char"/>
    <w:aliases w:val="Nornal 1 Char"/>
    <w:basedOn w:val="DefaultParagraphFont"/>
    <w:link w:val="ListParagraph"/>
    <w:uiPriority w:val="34"/>
    <w:rsid w:val="00A94AAB"/>
    <w:rPr>
      <w:rFonts w:asciiTheme="majorHAnsi" w:hAnsiTheme="majorHAnsi" w:cstheme="majorBidi"/>
    </w:rPr>
  </w:style>
  <w:style w:type="character" w:styleId="Hyperlink">
    <w:name w:val="Hyperlink"/>
    <w:basedOn w:val="DefaultParagraphFont"/>
    <w:uiPriority w:val="99"/>
    <w:unhideWhenUsed/>
    <w:rsid w:val="00A94AAB"/>
    <w:rPr>
      <w:color w:val="0563C1" w:themeColor="hyperlink"/>
      <w:u w:val="single"/>
    </w:rPr>
  </w:style>
  <w:style w:type="paragraph" w:styleId="TOC1">
    <w:name w:val="toc 1"/>
    <w:basedOn w:val="Normal"/>
    <w:next w:val="Normal"/>
    <w:autoRedefine/>
    <w:uiPriority w:val="39"/>
    <w:unhideWhenUsed/>
    <w:rsid w:val="00D919D1"/>
    <w:pPr>
      <w:tabs>
        <w:tab w:val="right" w:leader="dot" w:pos="10070"/>
      </w:tabs>
      <w:spacing w:after="100"/>
    </w:pPr>
  </w:style>
  <w:style w:type="paragraph" w:styleId="TOC2">
    <w:name w:val="toc 2"/>
    <w:basedOn w:val="Normal"/>
    <w:next w:val="Normal"/>
    <w:autoRedefine/>
    <w:uiPriority w:val="39"/>
    <w:unhideWhenUsed/>
    <w:rsid w:val="00A94AAB"/>
    <w:pPr>
      <w:tabs>
        <w:tab w:val="right" w:leader="dot" w:pos="10070"/>
      </w:tabs>
      <w:spacing w:after="100"/>
      <w:ind w:left="220"/>
    </w:pPr>
  </w:style>
  <w:style w:type="paragraph" w:styleId="TOC3">
    <w:name w:val="toc 3"/>
    <w:basedOn w:val="Normal"/>
    <w:next w:val="Normal"/>
    <w:autoRedefine/>
    <w:uiPriority w:val="39"/>
    <w:unhideWhenUsed/>
    <w:rsid w:val="00A94AAB"/>
    <w:pPr>
      <w:spacing w:after="100"/>
      <w:ind w:left="440"/>
    </w:pPr>
  </w:style>
  <w:style w:type="table" w:styleId="TableGrid">
    <w:name w:val="Table Grid"/>
    <w:basedOn w:val="TableNormal"/>
    <w:uiPriority w:val="39"/>
    <w:rsid w:val="00A94AAB"/>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94AAB"/>
    <w:rPr>
      <w:rFonts w:asciiTheme="majorHAnsi" w:hAnsiTheme="majorHAnsi" w:cstheme="majorBidi"/>
    </w:rPr>
  </w:style>
  <w:style w:type="character" w:customStyle="1" w:styleId="UnresolvedMention1">
    <w:name w:val="Unresolved Mention1"/>
    <w:basedOn w:val="DefaultParagraphFont"/>
    <w:uiPriority w:val="99"/>
    <w:semiHidden/>
    <w:unhideWhenUsed/>
    <w:rsid w:val="00A94AAB"/>
    <w:rPr>
      <w:color w:val="605E5C"/>
      <w:shd w:val="clear" w:color="auto" w:fill="E1DFDD"/>
    </w:rPr>
  </w:style>
  <w:style w:type="character" w:styleId="FollowedHyperlink">
    <w:name w:val="FollowedHyperlink"/>
    <w:basedOn w:val="DefaultParagraphFont"/>
    <w:uiPriority w:val="99"/>
    <w:semiHidden/>
    <w:unhideWhenUsed/>
    <w:rsid w:val="00A94AAB"/>
    <w:rPr>
      <w:color w:val="954F72" w:themeColor="followedHyperlink"/>
      <w:u w:val="single"/>
    </w:rPr>
  </w:style>
  <w:style w:type="paragraph" w:styleId="Revision">
    <w:name w:val="Revision"/>
    <w:hidden/>
    <w:uiPriority w:val="99"/>
    <w:semiHidden/>
    <w:rsid w:val="00A94AAB"/>
    <w:pPr>
      <w:spacing w:after="0" w:line="240" w:lineRule="auto"/>
    </w:pPr>
    <w:rPr>
      <w:rFonts w:asciiTheme="majorHAnsi" w:hAnsiTheme="majorHAnsi" w:cstheme="majorBidi"/>
    </w:rPr>
  </w:style>
  <w:style w:type="character" w:styleId="PageNumber">
    <w:name w:val="page number"/>
    <w:basedOn w:val="DefaultParagraphFont"/>
    <w:uiPriority w:val="99"/>
    <w:semiHidden/>
    <w:unhideWhenUsed/>
    <w:rsid w:val="00A94AAB"/>
  </w:style>
  <w:style w:type="paragraph" w:customStyle="1" w:styleId="JMWordDoc">
    <w:name w:val="JM Word Doc"/>
    <w:basedOn w:val="Normal"/>
    <w:qFormat/>
    <w:rsid w:val="00A94AAB"/>
    <w:pPr>
      <w:autoSpaceDE w:val="0"/>
      <w:autoSpaceDN w:val="0"/>
      <w:spacing w:after="0" w:line="240" w:lineRule="auto"/>
    </w:pPr>
    <w:rPr>
      <w:rFonts w:ascii="Calibri" w:hAnsi="Calibri" w:cs="Calibri"/>
    </w:rPr>
  </w:style>
  <w:style w:type="character" w:customStyle="1" w:styleId="id2e">
    <w:name w:val="id2e"/>
    <w:basedOn w:val="DefaultParagraphFont"/>
    <w:rsid w:val="00A94AAB"/>
  </w:style>
  <w:style w:type="character" w:styleId="UnresolvedMention">
    <w:name w:val="Unresolved Mention"/>
    <w:basedOn w:val="DefaultParagraphFont"/>
    <w:uiPriority w:val="99"/>
    <w:semiHidden/>
    <w:unhideWhenUsed/>
    <w:rsid w:val="00A94AAB"/>
    <w:rPr>
      <w:color w:val="808080"/>
      <w:shd w:val="clear" w:color="auto" w:fill="E6E6E6"/>
    </w:rPr>
  </w:style>
  <w:style w:type="character" w:customStyle="1" w:styleId="e24kjd">
    <w:name w:val="e24kjd"/>
    <w:basedOn w:val="DefaultParagraphFont"/>
    <w:rsid w:val="00ED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9225">
      <w:bodyDiv w:val="1"/>
      <w:marLeft w:val="0"/>
      <w:marRight w:val="0"/>
      <w:marTop w:val="0"/>
      <w:marBottom w:val="0"/>
      <w:divBdr>
        <w:top w:val="none" w:sz="0" w:space="0" w:color="auto"/>
        <w:left w:val="none" w:sz="0" w:space="0" w:color="auto"/>
        <w:bottom w:val="none" w:sz="0" w:space="0" w:color="auto"/>
        <w:right w:val="none" w:sz="0" w:space="0" w:color="auto"/>
      </w:divBdr>
    </w:div>
    <w:div w:id="219677951">
      <w:bodyDiv w:val="1"/>
      <w:marLeft w:val="0"/>
      <w:marRight w:val="0"/>
      <w:marTop w:val="0"/>
      <w:marBottom w:val="0"/>
      <w:divBdr>
        <w:top w:val="none" w:sz="0" w:space="0" w:color="auto"/>
        <w:left w:val="none" w:sz="0" w:space="0" w:color="auto"/>
        <w:bottom w:val="none" w:sz="0" w:space="0" w:color="auto"/>
        <w:right w:val="none" w:sz="0" w:space="0" w:color="auto"/>
      </w:divBdr>
    </w:div>
    <w:div w:id="406151319">
      <w:bodyDiv w:val="1"/>
      <w:marLeft w:val="0"/>
      <w:marRight w:val="0"/>
      <w:marTop w:val="0"/>
      <w:marBottom w:val="0"/>
      <w:divBdr>
        <w:top w:val="none" w:sz="0" w:space="0" w:color="auto"/>
        <w:left w:val="none" w:sz="0" w:space="0" w:color="auto"/>
        <w:bottom w:val="none" w:sz="0" w:space="0" w:color="auto"/>
        <w:right w:val="none" w:sz="0" w:space="0" w:color="auto"/>
      </w:divBdr>
    </w:div>
    <w:div w:id="411590245">
      <w:bodyDiv w:val="1"/>
      <w:marLeft w:val="0"/>
      <w:marRight w:val="0"/>
      <w:marTop w:val="0"/>
      <w:marBottom w:val="0"/>
      <w:divBdr>
        <w:top w:val="none" w:sz="0" w:space="0" w:color="auto"/>
        <w:left w:val="none" w:sz="0" w:space="0" w:color="auto"/>
        <w:bottom w:val="none" w:sz="0" w:space="0" w:color="auto"/>
        <w:right w:val="none" w:sz="0" w:space="0" w:color="auto"/>
      </w:divBdr>
    </w:div>
    <w:div w:id="430978043">
      <w:bodyDiv w:val="1"/>
      <w:marLeft w:val="0"/>
      <w:marRight w:val="0"/>
      <w:marTop w:val="0"/>
      <w:marBottom w:val="0"/>
      <w:divBdr>
        <w:top w:val="none" w:sz="0" w:space="0" w:color="auto"/>
        <w:left w:val="none" w:sz="0" w:space="0" w:color="auto"/>
        <w:bottom w:val="none" w:sz="0" w:space="0" w:color="auto"/>
        <w:right w:val="none" w:sz="0" w:space="0" w:color="auto"/>
      </w:divBdr>
    </w:div>
    <w:div w:id="518544635">
      <w:bodyDiv w:val="1"/>
      <w:marLeft w:val="0"/>
      <w:marRight w:val="0"/>
      <w:marTop w:val="0"/>
      <w:marBottom w:val="0"/>
      <w:divBdr>
        <w:top w:val="none" w:sz="0" w:space="0" w:color="auto"/>
        <w:left w:val="none" w:sz="0" w:space="0" w:color="auto"/>
        <w:bottom w:val="none" w:sz="0" w:space="0" w:color="auto"/>
        <w:right w:val="none" w:sz="0" w:space="0" w:color="auto"/>
      </w:divBdr>
    </w:div>
    <w:div w:id="1020550975">
      <w:bodyDiv w:val="1"/>
      <w:marLeft w:val="0"/>
      <w:marRight w:val="0"/>
      <w:marTop w:val="0"/>
      <w:marBottom w:val="0"/>
      <w:divBdr>
        <w:top w:val="none" w:sz="0" w:space="0" w:color="auto"/>
        <w:left w:val="none" w:sz="0" w:space="0" w:color="auto"/>
        <w:bottom w:val="none" w:sz="0" w:space="0" w:color="auto"/>
        <w:right w:val="none" w:sz="0" w:space="0" w:color="auto"/>
      </w:divBdr>
    </w:div>
    <w:div w:id="1100683875">
      <w:bodyDiv w:val="1"/>
      <w:marLeft w:val="0"/>
      <w:marRight w:val="0"/>
      <w:marTop w:val="0"/>
      <w:marBottom w:val="0"/>
      <w:divBdr>
        <w:top w:val="none" w:sz="0" w:space="0" w:color="auto"/>
        <w:left w:val="none" w:sz="0" w:space="0" w:color="auto"/>
        <w:bottom w:val="none" w:sz="0" w:space="0" w:color="auto"/>
        <w:right w:val="none" w:sz="0" w:space="0" w:color="auto"/>
      </w:divBdr>
    </w:div>
    <w:div w:id="1110586472">
      <w:bodyDiv w:val="1"/>
      <w:marLeft w:val="0"/>
      <w:marRight w:val="0"/>
      <w:marTop w:val="0"/>
      <w:marBottom w:val="0"/>
      <w:divBdr>
        <w:top w:val="none" w:sz="0" w:space="0" w:color="auto"/>
        <w:left w:val="none" w:sz="0" w:space="0" w:color="auto"/>
        <w:bottom w:val="none" w:sz="0" w:space="0" w:color="auto"/>
        <w:right w:val="none" w:sz="0" w:space="0" w:color="auto"/>
      </w:divBdr>
    </w:div>
    <w:div w:id="1365331916">
      <w:bodyDiv w:val="1"/>
      <w:marLeft w:val="0"/>
      <w:marRight w:val="0"/>
      <w:marTop w:val="0"/>
      <w:marBottom w:val="0"/>
      <w:divBdr>
        <w:top w:val="none" w:sz="0" w:space="0" w:color="auto"/>
        <w:left w:val="none" w:sz="0" w:space="0" w:color="auto"/>
        <w:bottom w:val="none" w:sz="0" w:space="0" w:color="auto"/>
        <w:right w:val="none" w:sz="0" w:space="0" w:color="auto"/>
      </w:divBdr>
    </w:div>
    <w:div w:id="1700206225">
      <w:bodyDiv w:val="1"/>
      <w:marLeft w:val="0"/>
      <w:marRight w:val="0"/>
      <w:marTop w:val="0"/>
      <w:marBottom w:val="0"/>
      <w:divBdr>
        <w:top w:val="none" w:sz="0" w:space="0" w:color="auto"/>
        <w:left w:val="none" w:sz="0" w:space="0" w:color="auto"/>
        <w:bottom w:val="none" w:sz="0" w:space="0" w:color="auto"/>
        <w:right w:val="none" w:sz="0" w:space="0" w:color="auto"/>
      </w:divBdr>
    </w:div>
    <w:div w:id="1796558620">
      <w:bodyDiv w:val="1"/>
      <w:marLeft w:val="0"/>
      <w:marRight w:val="0"/>
      <w:marTop w:val="0"/>
      <w:marBottom w:val="0"/>
      <w:divBdr>
        <w:top w:val="none" w:sz="0" w:space="0" w:color="auto"/>
        <w:left w:val="none" w:sz="0" w:space="0" w:color="auto"/>
        <w:bottom w:val="none" w:sz="0" w:space="0" w:color="auto"/>
        <w:right w:val="none" w:sz="0" w:space="0" w:color="auto"/>
      </w:divBdr>
    </w:div>
    <w:div w:id="1854801316">
      <w:bodyDiv w:val="1"/>
      <w:marLeft w:val="0"/>
      <w:marRight w:val="0"/>
      <w:marTop w:val="0"/>
      <w:marBottom w:val="0"/>
      <w:divBdr>
        <w:top w:val="none" w:sz="0" w:space="0" w:color="auto"/>
        <w:left w:val="none" w:sz="0" w:space="0" w:color="auto"/>
        <w:bottom w:val="none" w:sz="0" w:space="0" w:color="auto"/>
        <w:right w:val="none" w:sz="0" w:space="0" w:color="auto"/>
      </w:divBdr>
    </w:div>
    <w:div w:id="19342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6-27969" TargetMode="External"/><Relationship Id="rId13" Type="http://schemas.openxmlformats.org/officeDocument/2006/relationships/hyperlink" Target="https://www.law.cornell.edu/cfr/text/2/part-200" TargetMode="External"/><Relationship Id="rId18" Type="http://schemas.openxmlformats.org/officeDocument/2006/relationships/hyperlink" Target="http://www.nyshcr.org/Forms/FairHous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ecovery.houstontx.gov" TargetMode="External"/><Relationship Id="rId7" Type="http://schemas.openxmlformats.org/officeDocument/2006/relationships/endnotes" Target="endnotes.xml"/><Relationship Id="rId12" Type="http://schemas.openxmlformats.org/officeDocument/2006/relationships/hyperlink" Target="http://www.hudexchange.info" TargetMode="External"/><Relationship Id="rId17" Type="http://schemas.openxmlformats.org/officeDocument/2006/relationships/hyperlink" Target="http://www.justice.gov/crt/about/hce/title8.php" TargetMode="External"/><Relationship Id="rId25" Type="http://schemas.openxmlformats.org/officeDocument/2006/relationships/hyperlink" Target="https://www.huduser.gov/portal/affht_pt.html" TargetMode="External"/><Relationship Id="rId2" Type="http://schemas.openxmlformats.org/officeDocument/2006/relationships/numbering" Target="numbering.xml"/><Relationship Id="rId16" Type="http://schemas.openxmlformats.org/officeDocument/2006/relationships/hyperlink" Target="http://www.dol.gov/ofccp/regs/statutes/eo11246.htm" TargetMode="External"/><Relationship Id="rId20" Type="http://schemas.openxmlformats.org/officeDocument/2006/relationships/hyperlink" Target="http://www.archives.gov/federal-register/codification/executive-order/12432.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da934a3feb781d78a6247dcd3c1f6dbe&amp;mc=true&amp;node=se24.3.570_1609&amp;rgn=div8" TargetMode="External"/><Relationship Id="rId24" Type="http://schemas.openxmlformats.org/officeDocument/2006/relationships/hyperlink" Target="mailto:cdr@recovery.texas.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fr.gov/cgi-bin/text-idx?c=ecfr&amp;amp;amp%3Bsid=99c9a20e960f56be66f17ae91b52c888&amp;amp;amp%3Brgn=div5&amp;amp;amp%3Bview=text&amp;amp;amp%3Bnode=29%3A1.1.1.1.6&amp;amp;amp%3Bidno=29" TargetMode="External"/><Relationship Id="rId23" Type="http://schemas.openxmlformats.org/officeDocument/2006/relationships/hyperlink" Target="mailto:HCDDComplaintsAppeals@houstontx.gov" TargetMode="External"/><Relationship Id="rId28" Type="http://schemas.openxmlformats.org/officeDocument/2006/relationships/footer" Target="footer1.xml"/><Relationship Id="rId10" Type="http://schemas.openxmlformats.org/officeDocument/2006/relationships/hyperlink" Target="https://www.federalregister.gov/d/2017-01007" TargetMode="External"/><Relationship Id="rId19" Type="http://schemas.openxmlformats.org/officeDocument/2006/relationships/hyperlink" Target="http://www.gpo.gov/fdsys/pkg/FR-2000-08-16/pdf/00-20938.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deralregister.gov/d/2017-16411" TargetMode="External"/><Relationship Id="rId14" Type="http://schemas.openxmlformats.org/officeDocument/2006/relationships/hyperlink" Target="https://www.law.cornell.edu/cfr/text/2/part-200/subpart-F" TargetMode="External"/><Relationship Id="rId22" Type="http://schemas.openxmlformats.org/officeDocument/2006/relationships/hyperlink" Target="mailto:HCDDComplaintsAppeals@houstontx.gov"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AD37-BDCB-4FE9-A827-7473142B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10143</Words>
  <Characters>57820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Adolphin, Shea - HCD</dc:creator>
  <cp:keywords/>
  <dc:description/>
  <cp:lastModifiedBy>Adolphin, Shea - HCD</cp:lastModifiedBy>
  <cp:revision>5</cp:revision>
  <cp:lastPrinted>2019-08-19T20:45:00Z</cp:lastPrinted>
  <dcterms:created xsi:type="dcterms:W3CDTF">2020-01-10T19:55:00Z</dcterms:created>
  <dcterms:modified xsi:type="dcterms:W3CDTF">2020-02-19T23:09:00Z</dcterms:modified>
</cp:coreProperties>
</file>