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89" w:rsidRDefault="00664389" w:rsidP="00664389">
      <w:pPr>
        <w:pStyle w:val="contbold"/>
        <w:rPr>
          <w:rFonts w:ascii="Verdana" w:hAnsi="Verdana"/>
          <w:sz w:val="17"/>
          <w:szCs w:val="17"/>
        </w:rPr>
      </w:pPr>
      <w:r>
        <w:rPr>
          <w:rFonts w:ascii="Verdana" w:hAnsi="Verdana"/>
          <w:sz w:val="17"/>
          <w:szCs w:val="17"/>
        </w:rPr>
        <w:t xml:space="preserve">Don Pagel </w:t>
      </w:r>
    </w:p>
    <w:p w:rsidR="00664389" w:rsidRDefault="00664389" w:rsidP="00664389">
      <w:pPr>
        <w:pStyle w:val="NormalWeb"/>
        <w:rPr>
          <w:rFonts w:ascii="Verdana" w:hAnsi="Verdana"/>
          <w:sz w:val="17"/>
          <w:szCs w:val="17"/>
        </w:rPr>
      </w:pPr>
      <w:r>
        <w:rPr>
          <w:rStyle w:val="contbold1"/>
          <w:rFonts w:ascii="Verdana" w:hAnsi="Verdana"/>
          <w:sz w:val="17"/>
          <w:szCs w:val="17"/>
        </w:rPr>
        <w:t xml:space="preserve">Deputy Director | </w:t>
      </w:r>
      <w:hyperlink r:id="rId5" w:history="1">
        <w:r>
          <w:rPr>
            <w:rStyle w:val="Hyperlink"/>
            <w:rFonts w:ascii="Verdana" w:hAnsi="Verdana"/>
            <w:b/>
            <w:bCs/>
            <w:sz w:val="17"/>
            <w:szCs w:val="17"/>
          </w:rPr>
          <w:t>E-mail</w:t>
        </w:r>
      </w:hyperlink>
    </w:p>
    <w:p w:rsidR="00664389" w:rsidRDefault="00664389" w:rsidP="00664389">
      <w:pPr>
        <w:pStyle w:val="subtitle"/>
      </w:pPr>
      <w:r>
        <w:t>Division Responsibilities</w:t>
      </w:r>
    </w:p>
    <w:p w:rsidR="00664389" w:rsidRDefault="00664389" w:rsidP="00664389">
      <w:pPr>
        <w:numPr>
          <w:ilvl w:val="0"/>
          <w:numId w:val="1"/>
        </w:numPr>
        <w:spacing w:before="100" w:beforeAutospacing="1" w:after="240" w:line="240" w:lineRule="auto"/>
        <w:ind w:left="150"/>
        <w:rPr>
          <w:rFonts w:ascii="Verdana" w:hAnsi="Verdana"/>
          <w:color w:val="333333"/>
          <w:sz w:val="17"/>
          <w:szCs w:val="17"/>
        </w:rPr>
      </w:pPr>
      <w:r>
        <w:rPr>
          <w:rFonts w:ascii="Verdana" w:hAnsi="Verdana"/>
          <w:color w:val="333333"/>
          <w:sz w:val="17"/>
          <w:szCs w:val="17"/>
        </w:rPr>
        <w:t>Drive Payroll Citywide Through Best Practices &amp; Procedures</w:t>
      </w:r>
    </w:p>
    <w:p w:rsidR="00664389" w:rsidRDefault="00664389" w:rsidP="00664389">
      <w:pPr>
        <w:numPr>
          <w:ilvl w:val="0"/>
          <w:numId w:val="1"/>
        </w:numPr>
        <w:spacing w:before="100" w:beforeAutospacing="1" w:after="240" w:line="240" w:lineRule="auto"/>
        <w:ind w:left="150"/>
        <w:rPr>
          <w:rFonts w:ascii="Verdana" w:hAnsi="Verdana"/>
          <w:color w:val="333333"/>
          <w:sz w:val="17"/>
          <w:szCs w:val="17"/>
        </w:rPr>
      </w:pPr>
      <w:r>
        <w:rPr>
          <w:rFonts w:ascii="Verdana" w:hAnsi="Verdana"/>
          <w:color w:val="333333"/>
          <w:sz w:val="17"/>
          <w:szCs w:val="17"/>
        </w:rPr>
        <w:t>Process Biweekly Payroll Checks for All 23,000+ City Employees</w:t>
      </w:r>
    </w:p>
    <w:p w:rsidR="00664389" w:rsidRDefault="00664389" w:rsidP="00664389">
      <w:pPr>
        <w:numPr>
          <w:ilvl w:val="0"/>
          <w:numId w:val="1"/>
        </w:numPr>
        <w:spacing w:before="100" w:beforeAutospacing="1" w:after="240" w:line="240" w:lineRule="auto"/>
        <w:ind w:left="150"/>
        <w:rPr>
          <w:rFonts w:ascii="Verdana" w:hAnsi="Verdana"/>
          <w:color w:val="333333"/>
          <w:sz w:val="17"/>
          <w:szCs w:val="17"/>
        </w:rPr>
      </w:pPr>
      <w:r>
        <w:rPr>
          <w:rFonts w:ascii="Verdana" w:hAnsi="Verdana"/>
          <w:color w:val="333333"/>
          <w:sz w:val="17"/>
          <w:szCs w:val="17"/>
        </w:rPr>
        <w:t>Manage Complex Payroll Systems Addressing Issues of Multiple Meet &amp; Confer Agreements, Multiple Pensions, Tax Administration, Production, Payroll Posting, Garnishments and Reconciliations</w:t>
      </w:r>
    </w:p>
    <w:p w:rsidR="00664389" w:rsidRDefault="00664389" w:rsidP="00664389">
      <w:pPr>
        <w:numPr>
          <w:ilvl w:val="0"/>
          <w:numId w:val="1"/>
        </w:numPr>
        <w:spacing w:before="100" w:beforeAutospacing="1" w:after="240" w:line="240" w:lineRule="auto"/>
        <w:ind w:left="150"/>
        <w:rPr>
          <w:rFonts w:ascii="Verdana" w:hAnsi="Verdana"/>
          <w:color w:val="333333"/>
          <w:sz w:val="17"/>
          <w:szCs w:val="17"/>
        </w:rPr>
      </w:pPr>
      <w:r>
        <w:rPr>
          <w:rFonts w:ascii="Verdana" w:hAnsi="Verdana"/>
          <w:color w:val="333333"/>
          <w:sz w:val="17"/>
          <w:szCs w:val="17"/>
        </w:rPr>
        <w:t>Manage Production &amp; System Upgrade Projects</w:t>
      </w:r>
    </w:p>
    <w:p w:rsidR="00664389" w:rsidRDefault="00664389" w:rsidP="00664389">
      <w:pPr>
        <w:numPr>
          <w:ilvl w:val="0"/>
          <w:numId w:val="1"/>
        </w:numPr>
        <w:spacing w:before="100" w:beforeAutospacing="1" w:after="240" w:line="240" w:lineRule="auto"/>
        <w:ind w:left="150"/>
        <w:rPr>
          <w:rFonts w:ascii="Verdana" w:hAnsi="Verdana"/>
          <w:color w:val="333333"/>
          <w:sz w:val="17"/>
          <w:szCs w:val="17"/>
        </w:rPr>
      </w:pPr>
      <w:r>
        <w:rPr>
          <w:rFonts w:ascii="Verdana" w:hAnsi="Verdana"/>
          <w:color w:val="333333"/>
          <w:sz w:val="17"/>
          <w:szCs w:val="17"/>
        </w:rPr>
        <w:t>Interface with Departmental Payroll Timekeeping Sections</w:t>
      </w:r>
    </w:p>
    <w:p w:rsidR="00664389" w:rsidRDefault="00664389" w:rsidP="00664389">
      <w:pPr>
        <w:numPr>
          <w:ilvl w:val="0"/>
          <w:numId w:val="1"/>
        </w:numPr>
        <w:spacing w:before="100" w:beforeAutospacing="1" w:after="240" w:line="240" w:lineRule="auto"/>
        <w:ind w:left="150"/>
        <w:rPr>
          <w:rFonts w:ascii="Verdana" w:hAnsi="Verdana"/>
          <w:color w:val="333333"/>
          <w:sz w:val="17"/>
          <w:szCs w:val="17"/>
        </w:rPr>
      </w:pPr>
      <w:r>
        <w:rPr>
          <w:rFonts w:ascii="Verdana" w:hAnsi="Verdana"/>
          <w:color w:val="333333"/>
          <w:sz w:val="17"/>
          <w:szCs w:val="17"/>
        </w:rPr>
        <w:t>Prepare required employer reporting to Internal Revenue Service (IRS), Social Security Administration (SSA), Texas Workers Compensation (TWC) and Bureau of Labor Statistics (BLS).</w:t>
      </w:r>
    </w:p>
    <w:p w:rsidR="00664389" w:rsidRDefault="00664389" w:rsidP="00664389">
      <w:pPr>
        <w:numPr>
          <w:ilvl w:val="0"/>
          <w:numId w:val="1"/>
        </w:numPr>
        <w:spacing w:before="100" w:beforeAutospacing="1" w:after="240" w:line="240" w:lineRule="auto"/>
        <w:ind w:left="150"/>
        <w:rPr>
          <w:rFonts w:ascii="Verdana" w:hAnsi="Verdana"/>
          <w:color w:val="333333"/>
          <w:sz w:val="17"/>
          <w:szCs w:val="17"/>
        </w:rPr>
      </w:pPr>
      <w:r>
        <w:rPr>
          <w:rFonts w:ascii="Verdana" w:hAnsi="Verdana"/>
          <w:color w:val="333333"/>
          <w:sz w:val="17"/>
          <w:szCs w:val="17"/>
        </w:rPr>
        <w:t>Provide Employees with Accurate &amp; Timely W-2 Statements</w:t>
      </w:r>
    </w:p>
    <w:p w:rsidR="00664389" w:rsidRDefault="00664389" w:rsidP="00664389">
      <w:pPr>
        <w:numPr>
          <w:ilvl w:val="0"/>
          <w:numId w:val="1"/>
        </w:numPr>
        <w:spacing w:before="100" w:beforeAutospacing="1" w:after="100" w:afterAutospacing="1" w:line="240" w:lineRule="auto"/>
        <w:ind w:left="150"/>
        <w:rPr>
          <w:rFonts w:ascii="Verdana" w:hAnsi="Verdana"/>
          <w:color w:val="333333"/>
          <w:sz w:val="17"/>
          <w:szCs w:val="17"/>
        </w:rPr>
      </w:pPr>
      <w:r>
        <w:rPr>
          <w:rFonts w:ascii="Verdana" w:hAnsi="Verdana"/>
          <w:color w:val="333333"/>
          <w:sz w:val="17"/>
          <w:szCs w:val="17"/>
        </w:rPr>
        <w:t xml:space="preserve">Provide </w:t>
      </w:r>
      <w:r>
        <w:rPr>
          <w:rStyle w:val="Strong"/>
          <w:rFonts w:ascii="Verdana" w:hAnsi="Verdana"/>
          <w:color w:val="333333"/>
          <w:sz w:val="17"/>
          <w:szCs w:val="17"/>
        </w:rPr>
        <w:t>"Central Payroll Help Desk"</w:t>
      </w:r>
      <w:r>
        <w:rPr>
          <w:rFonts w:ascii="Verdana" w:hAnsi="Verdana"/>
          <w:color w:val="333333"/>
          <w:sz w:val="17"/>
          <w:szCs w:val="17"/>
        </w:rPr>
        <w:t xml:space="preserve"> for all City Employees </w:t>
      </w:r>
    </w:p>
    <w:p w:rsidR="00E27F29" w:rsidRDefault="00E27F29" w:rsidP="00E27F29">
      <w:pPr>
        <w:pStyle w:val="NormalWeb"/>
        <w:jc w:val="center"/>
        <w:rPr>
          <w:rStyle w:val="headlinenewsheading1"/>
          <w:rFonts w:ascii="Verdana" w:hAnsi="Verdana"/>
        </w:rPr>
      </w:pPr>
      <w:r>
        <w:rPr>
          <w:rFonts w:ascii="Verdana" w:hAnsi="Verdana"/>
          <w:b/>
          <w:bCs/>
          <w:noProof/>
          <w:color w:val="006088"/>
          <w:sz w:val="17"/>
          <w:szCs w:val="17"/>
        </w:rPr>
        <w:drawing>
          <wp:inline distT="0" distB="0" distL="0" distR="0">
            <wp:extent cx="3019425" cy="820741"/>
            <wp:effectExtent l="19050" t="0" r="9525" b="0"/>
            <wp:docPr id="1" name="Picture 0" descr="Kron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osLogo.JPG"/>
                    <pic:cNvPicPr/>
                  </pic:nvPicPr>
                  <pic:blipFill>
                    <a:blip r:embed="rId6" cstate="print"/>
                    <a:stretch>
                      <a:fillRect/>
                    </a:stretch>
                  </pic:blipFill>
                  <pic:spPr>
                    <a:xfrm>
                      <a:off x="0" y="0"/>
                      <a:ext cx="3019425" cy="820741"/>
                    </a:xfrm>
                    <a:prstGeom prst="rect">
                      <a:avLst/>
                    </a:prstGeom>
                  </pic:spPr>
                </pic:pic>
              </a:graphicData>
            </a:graphic>
          </wp:inline>
        </w:drawing>
      </w:r>
    </w:p>
    <w:p w:rsidR="00664389" w:rsidRDefault="00664389" w:rsidP="00664389">
      <w:pPr>
        <w:pStyle w:val="NormalWeb"/>
        <w:rPr>
          <w:rFonts w:ascii="Verdana" w:hAnsi="Verdana"/>
          <w:sz w:val="17"/>
          <w:szCs w:val="17"/>
        </w:rPr>
      </w:pPr>
      <w:r>
        <w:rPr>
          <w:rStyle w:val="headlinenewsheading1"/>
          <w:rFonts w:ascii="Verdana" w:hAnsi="Verdana"/>
        </w:rPr>
        <w:t>City of Houston Kronos Time and Attendance System</w:t>
      </w:r>
      <w:r>
        <w:rPr>
          <w:rFonts w:ascii="Verdana" w:hAnsi="Verdana"/>
          <w:sz w:val="17"/>
          <w:szCs w:val="17"/>
        </w:rPr>
        <w:br/>
      </w:r>
      <w:r>
        <w:rPr>
          <w:rFonts w:ascii="Verdana" w:hAnsi="Verdana"/>
          <w:sz w:val="17"/>
          <w:szCs w:val="17"/>
        </w:rPr>
        <w:br/>
      </w:r>
      <w:proofErr w:type="gramStart"/>
      <w:r>
        <w:rPr>
          <w:rFonts w:ascii="Verdana" w:hAnsi="Verdana"/>
          <w:sz w:val="17"/>
          <w:szCs w:val="17"/>
        </w:rPr>
        <w:t>In</w:t>
      </w:r>
      <w:proofErr w:type="gramEnd"/>
      <w:r>
        <w:rPr>
          <w:rFonts w:ascii="Verdana" w:hAnsi="Verdana"/>
          <w:sz w:val="17"/>
          <w:szCs w:val="17"/>
        </w:rPr>
        <w:t xml:space="preserve"> November of 2011, the City of Houston completed the implementation of the Kronos Time and Attendance System.  This automated time collection system is used by every employee in the City and is the system of record for all payroll time collection.</w:t>
      </w:r>
    </w:p>
    <w:p w:rsidR="00664389" w:rsidRDefault="00664389" w:rsidP="00664389">
      <w:pPr>
        <w:pStyle w:val="NormalWeb"/>
        <w:rPr>
          <w:rFonts w:ascii="Verdana" w:hAnsi="Verdana"/>
          <w:sz w:val="17"/>
          <w:szCs w:val="17"/>
        </w:rPr>
      </w:pPr>
      <w:r>
        <w:rPr>
          <w:rFonts w:ascii="Verdana" w:hAnsi="Verdana"/>
          <w:sz w:val="17"/>
          <w:szCs w:val="17"/>
        </w:rPr>
        <w:t xml:space="preserve">For further information and resources, visit our </w:t>
      </w:r>
      <w:hyperlink r:id="rId7" w:history="1">
        <w:r w:rsidR="00E27F29" w:rsidRPr="00E27F29">
          <w:rPr>
            <w:rStyle w:val="Hyperlink"/>
            <w:rFonts w:ascii="Verdana" w:hAnsi="Verdana"/>
            <w:sz w:val="17"/>
            <w:szCs w:val="17"/>
          </w:rPr>
          <w:t>Kronos web page</w:t>
        </w:r>
      </w:hyperlink>
      <w:r w:rsidR="00E27F29">
        <w:rPr>
          <w:rFonts w:ascii="Verdana" w:hAnsi="Verdana"/>
          <w:sz w:val="17"/>
          <w:szCs w:val="17"/>
        </w:rPr>
        <w:t>.</w:t>
      </w:r>
    </w:p>
    <w:p w:rsidR="00664389" w:rsidRDefault="00664389">
      <w:pPr>
        <w:rPr>
          <w:rFonts w:asciiTheme="majorHAnsi" w:eastAsiaTheme="majorEastAsia" w:hAnsiTheme="majorHAnsi" w:cstheme="majorBidi"/>
          <w:b/>
          <w:bCs/>
          <w:color w:val="4F81BD" w:themeColor="accent1"/>
          <w:sz w:val="26"/>
          <w:szCs w:val="26"/>
        </w:rPr>
      </w:pPr>
    </w:p>
    <w:p w:rsidR="00E27F29" w:rsidRDefault="00E27F29">
      <w:pPr>
        <w:rPr>
          <w:rFonts w:asciiTheme="majorHAnsi" w:eastAsiaTheme="majorEastAsia" w:hAnsiTheme="majorHAnsi" w:cstheme="majorBidi"/>
          <w:b/>
          <w:bCs/>
          <w:color w:val="4F81BD" w:themeColor="accent1"/>
          <w:sz w:val="26"/>
          <w:szCs w:val="26"/>
        </w:rPr>
      </w:pPr>
      <w:r>
        <w:br w:type="page"/>
      </w:r>
    </w:p>
    <w:p w:rsidR="0011598F" w:rsidRDefault="003975C0" w:rsidP="00074ABC">
      <w:pPr>
        <w:pStyle w:val="Heading2"/>
      </w:pPr>
      <w:r>
        <w:lastRenderedPageBreak/>
        <w:t>KRONOS Time and Attendance System</w:t>
      </w:r>
    </w:p>
    <w:p w:rsidR="00EC64DC" w:rsidRDefault="00EC64DC">
      <w:r>
        <w:t xml:space="preserve">The City of Houston uses Kronos </w:t>
      </w:r>
      <w:r w:rsidR="004B1BB8">
        <w:t>for all</w:t>
      </w:r>
      <w:r>
        <w:t xml:space="preserve"> payroll time collection in every departme</w:t>
      </w:r>
      <w:r w:rsidR="004B1BB8">
        <w:t xml:space="preserve">nt.  This system is designed </w:t>
      </w:r>
      <w:r>
        <w:t>not only</w:t>
      </w:r>
      <w:r w:rsidR="004B1BB8">
        <w:t xml:space="preserve"> to </w:t>
      </w:r>
      <w:r>
        <w:t>capture accurate working and leave hours but also give each employee full visibility into their time cards, accrual balances, pay stubs and annual W-2’s online.</w:t>
      </w:r>
      <w:r w:rsidR="004B1BB8">
        <w:t xml:space="preserve">  Supervisors and managers have full visibility to manage all labor resources and control overtime.</w:t>
      </w:r>
    </w:p>
    <w:p w:rsidR="00EC64DC" w:rsidRDefault="00EC64DC" w:rsidP="00074ABC">
      <w:pPr>
        <w:pStyle w:val="Heading3"/>
      </w:pPr>
      <w:r>
        <w:t>Links</w:t>
      </w:r>
    </w:p>
    <w:p w:rsidR="00EC64DC" w:rsidRDefault="00EC64DC">
      <w:r>
        <w:t>Save these links as Favorites on your work and home computers:</w:t>
      </w:r>
    </w:p>
    <w:p w:rsidR="00EC64DC" w:rsidRDefault="00EC64DC">
      <w:hyperlink r:id="rId8" w:history="1">
        <w:r w:rsidRPr="00EC64DC">
          <w:rPr>
            <w:rStyle w:val="Hyperlink"/>
          </w:rPr>
          <w:t>Kronos Web Application</w:t>
        </w:r>
      </w:hyperlink>
      <w:r>
        <w:t xml:space="preserve"> (full-featured application for supervisors and employees)</w:t>
      </w:r>
    </w:p>
    <w:p w:rsidR="00EC64DC" w:rsidRDefault="00074ABC">
      <w:hyperlink r:id="rId9" w:history="1">
        <w:r w:rsidR="00EC64DC" w:rsidRPr="00074ABC">
          <w:rPr>
            <w:rStyle w:val="Hyperlink"/>
          </w:rPr>
          <w:t>Kronos Quick Time Stamp</w:t>
        </w:r>
      </w:hyperlink>
      <w:r w:rsidR="00EC64DC">
        <w:t xml:space="preserve"> (simple browser time stamp)</w:t>
      </w:r>
    </w:p>
    <w:p w:rsidR="00943E46" w:rsidRDefault="00943E46" w:rsidP="00943E46">
      <w:pPr>
        <w:pStyle w:val="Heading3"/>
      </w:pPr>
      <w:proofErr w:type="spellStart"/>
      <w:r>
        <w:t>TeleTime</w:t>
      </w:r>
      <w:proofErr w:type="spellEnd"/>
      <w:r>
        <w:t xml:space="preserve"> </w:t>
      </w:r>
    </w:p>
    <w:p w:rsidR="00943E46" w:rsidRPr="00943E46" w:rsidRDefault="00943E46" w:rsidP="00943E46">
      <w:proofErr w:type="spellStart"/>
      <w:r>
        <w:t>TeleTime</w:t>
      </w:r>
      <w:proofErr w:type="spellEnd"/>
      <w:r>
        <w:t xml:space="preserve"> requires approval by your department prior to use.</w:t>
      </w:r>
    </w:p>
    <w:p w:rsidR="003472AF" w:rsidRDefault="00943E46">
      <w:r>
        <w:t xml:space="preserve">Phone Number </w:t>
      </w:r>
      <w:r w:rsidR="003472AF">
        <w:t>(855) COH-TIME or (855) 264-8469</w:t>
      </w:r>
    </w:p>
    <w:p w:rsidR="003975C0" w:rsidRDefault="00EC64DC" w:rsidP="00074ABC">
      <w:pPr>
        <w:pStyle w:val="Heading3"/>
      </w:pPr>
      <w:r>
        <w:t>Manuals</w:t>
      </w:r>
    </w:p>
    <w:p w:rsidR="00074ABC" w:rsidRPr="00074ABC" w:rsidRDefault="00074ABC" w:rsidP="00074ABC">
      <w:r>
        <w:t>The following manuals are used in training classes and are also good reference manuals for new supervisors or new employees.</w:t>
      </w:r>
    </w:p>
    <w:p w:rsidR="00EC64DC" w:rsidRDefault="00EC64DC">
      <w:r>
        <w:t xml:space="preserve">Supervisor </w:t>
      </w:r>
      <w:r w:rsidR="00943E46">
        <w:t xml:space="preserve">Manual </w:t>
      </w:r>
      <w:r>
        <w:br/>
        <w:t>Employee Manual</w:t>
      </w:r>
      <w:r w:rsidR="00943E46">
        <w:t xml:space="preserve"> </w:t>
      </w:r>
    </w:p>
    <w:p w:rsidR="00EC64DC" w:rsidRDefault="00EC64DC" w:rsidP="00074ABC">
      <w:pPr>
        <w:pStyle w:val="Heading3"/>
      </w:pPr>
      <w:r>
        <w:t>Job Aids</w:t>
      </w:r>
    </w:p>
    <w:p w:rsidR="00EC64DC" w:rsidRDefault="00074ABC">
      <w:r>
        <w:t xml:space="preserve">Job aids are one or two page documents with simple instructions and examples for </w:t>
      </w:r>
      <w:r w:rsidR="00A26F96">
        <w:t>everyday</w:t>
      </w:r>
      <w:r>
        <w:t xml:space="preserve"> tasks.</w:t>
      </w:r>
    </w:p>
    <w:p w:rsidR="00074ABC" w:rsidRDefault="00A26F96">
      <w:r>
        <w:t>Time Clocks for Pin Punch Employees</w:t>
      </w:r>
      <w:r>
        <w:br/>
        <w:t>Time Clocks for Badge Swipe Employees</w:t>
      </w:r>
      <w:r>
        <w:br/>
        <w:t>Time Clock for Supervisors Pin Punch (biometric enrollment)</w:t>
      </w:r>
      <w:r>
        <w:br/>
        <w:t>Time Clock for Supervisors Badge Swipe (biometric enrollment)</w:t>
      </w:r>
      <w:r>
        <w:br/>
      </w:r>
      <w:proofErr w:type="spellStart"/>
      <w:r>
        <w:t>TeleTime</w:t>
      </w:r>
      <w:proofErr w:type="spellEnd"/>
      <w:r>
        <w:t xml:space="preserve"> for Employees</w:t>
      </w:r>
      <w:r>
        <w:br/>
      </w:r>
      <w:r w:rsidR="004B1BB8">
        <w:t>Timestamp and Quick Time Stamp Employee Tasks</w:t>
      </w:r>
      <w:r w:rsidR="004B1BB8">
        <w:br/>
      </w:r>
      <w:r>
        <w:t>Attendance and Leave for Supervisors</w:t>
      </w:r>
      <w:r>
        <w:br/>
        <w:t>Daily Tasks for Supervisors</w:t>
      </w:r>
      <w:r>
        <w:br/>
        <w:t>Assigning and Managing Schedules</w:t>
      </w:r>
      <w:r>
        <w:br/>
      </w:r>
      <w:r w:rsidR="004B1BB8">
        <w:t>Requesting Time Off</w:t>
      </w:r>
      <w:r w:rsidR="004B1BB8">
        <w:br/>
        <w:t>Approving Time Off</w:t>
      </w:r>
      <w:r w:rsidR="004B1BB8">
        <w:br/>
        <w:t>Approving Timecards</w:t>
      </w:r>
      <w:r w:rsidR="004B1BB8">
        <w:br/>
      </w:r>
      <w:r>
        <w:t>Building Hyperfind Queries</w:t>
      </w:r>
      <w:r w:rsidR="004B1BB8" w:rsidRPr="004B1BB8">
        <w:t xml:space="preserve"> </w:t>
      </w:r>
      <w:r w:rsidR="004B1BB8">
        <w:br/>
        <w:t>Comp Time Aging Report</w:t>
      </w:r>
      <w:r w:rsidR="001C47F3">
        <w:br/>
        <w:t>Comp Time Payout Monitor</w:t>
      </w:r>
      <w:r w:rsidR="004B1BB8">
        <w:br/>
        <w:t>Overtime and Paid Comp Time Report</w:t>
      </w:r>
      <w:r w:rsidR="004B1BB8">
        <w:br/>
        <w:t>Accrued Holiday Aging Report</w:t>
      </w:r>
      <w:r w:rsidR="004B1BB8">
        <w:br/>
        <w:t>Java Installation for Home Computers</w:t>
      </w:r>
    </w:p>
    <w:p w:rsidR="00074ABC" w:rsidRDefault="00074ABC" w:rsidP="00074ABC">
      <w:pPr>
        <w:pStyle w:val="Heading3"/>
      </w:pPr>
      <w:r>
        <w:t>Policies</w:t>
      </w:r>
    </w:p>
    <w:p w:rsidR="00074ABC" w:rsidRDefault="00074ABC">
      <w:r>
        <w:t>AP 2-4 Electronic Timekeeping Policy</w:t>
      </w:r>
    </w:p>
    <w:sectPr w:rsidR="00074ABC" w:rsidSect="00943E4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87F"/>
    <w:multiLevelType w:val="multilevel"/>
    <w:tmpl w:val="EBCC8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4A786D"/>
    <w:multiLevelType w:val="multilevel"/>
    <w:tmpl w:val="7B38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5C0"/>
    <w:rsid w:val="00074ABC"/>
    <w:rsid w:val="0011598F"/>
    <w:rsid w:val="001C47F3"/>
    <w:rsid w:val="003472AF"/>
    <w:rsid w:val="003975C0"/>
    <w:rsid w:val="004B1BB8"/>
    <w:rsid w:val="00664389"/>
    <w:rsid w:val="00943E46"/>
    <w:rsid w:val="00A26F96"/>
    <w:rsid w:val="00E27F29"/>
    <w:rsid w:val="00EC6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8F"/>
  </w:style>
  <w:style w:type="paragraph" w:styleId="Heading2">
    <w:name w:val="heading 2"/>
    <w:basedOn w:val="Normal"/>
    <w:next w:val="Normal"/>
    <w:link w:val="Heading2Char"/>
    <w:uiPriority w:val="9"/>
    <w:unhideWhenUsed/>
    <w:qFormat/>
    <w:rsid w:val="00074A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4A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4DC"/>
    <w:rPr>
      <w:color w:val="0000FF" w:themeColor="hyperlink"/>
      <w:u w:val="single"/>
    </w:rPr>
  </w:style>
  <w:style w:type="character" w:customStyle="1" w:styleId="Heading2Char">
    <w:name w:val="Heading 2 Char"/>
    <w:basedOn w:val="DefaultParagraphFont"/>
    <w:link w:val="Heading2"/>
    <w:uiPriority w:val="9"/>
    <w:rsid w:val="00074A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AB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64389"/>
    <w:rPr>
      <w:b w:val="0"/>
      <w:bCs w:val="0"/>
      <w:i w:val="0"/>
      <w:iCs w:val="0"/>
    </w:rPr>
  </w:style>
  <w:style w:type="paragraph" w:styleId="NormalWeb">
    <w:name w:val="Normal (Web)"/>
    <w:basedOn w:val="Normal"/>
    <w:uiPriority w:val="99"/>
    <w:semiHidden/>
    <w:unhideWhenUsed/>
    <w:rsid w:val="0066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664389"/>
    <w:pPr>
      <w:spacing w:before="100" w:beforeAutospacing="1" w:after="100" w:afterAutospacing="1" w:line="240" w:lineRule="auto"/>
    </w:pPr>
    <w:rPr>
      <w:rFonts w:ascii="Verdana" w:eastAsia="Times New Roman" w:hAnsi="Verdana" w:cs="Times New Roman"/>
      <w:color w:val="006088"/>
      <w:sz w:val="21"/>
      <w:szCs w:val="21"/>
    </w:rPr>
  </w:style>
  <w:style w:type="paragraph" w:customStyle="1" w:styleId="contbold">
    <w:name w:val="contbold"/>
    <w:basedOn w:val="Normal"/>
    <w:rsid w:val="00664389"/>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contbold1">
    <w:name w:val="contbold1"/>
    <w:basedOn w:val="DefaultParagraphFont"/>
    <w:rsid w:val="00664389"/>
    <w:rPr>
      <w:b/>
      <w:bCs/>
    </w:rPr>
  </w:style>
  <w:style w:type="character" w:customStyle="1" w:styleId="headlinenewsheading1">
    <w:name w:val="headlinenewsheading1"/>
    <w:basedOn w:val="DefaultParagraphFont"/>
    <w:rsid w:val="00664389"/>
    <w:rPr>
      <w:b/>
      <w:bCs/>
      <w:color w:val="006088"/>
      <w:sz w:val="17"/>
      <w:szCs w:val="17"/>
    </w:rPr>
  </w:style>
  <w:style w:type="paragraph" w:styleId="BalloonText">
    <w:name w:val="Balloon Text"/>
    <w:basedOn w:val="Normal"/>
    <w:link w:val="BalloonTextChar"/>
    <w:uiPriority w:val="99"/>
    <w:semiHidden/>
    <w:unhideWhenUsed/>
    <w:rsid w:val="00E27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715860">
      <w:bodyDiv w:val="1"/>
      <w:marLeft w:val="0"/>
      <w:marRight w:val="0"/>
      <w:marTop w:val="0"/>
      <w:marBottom w:val="0"/>
      <w:divBdr>
        <w:top w:val="none" w:sz="0" w:space="0" w:color="auto"/>
        <w:left w:val="none" w:sz="0" w:space="0" w:color="auto"/>
        <w:bottom w:val="none" w:sz="0" w:space="0" w:color="auto"/>
        <w:right w:val="none" w:sz="0" w:space="0" w:color="auto"/>
      </w:divBdr>
      <w:divsChild>
        <w:div w:id="1455367138">
          <w:marLeft w:val="0"/>
          <w:marRight w:val="0"/>
          <w:marTop w:val="0"/>
          <w:marBottom w:val="0"/>
          <w:divBdr>
            <w:top w:val="none" w:sz="0" w:space="0" w:color="auto"/>
            <w:left w:val="none" w:sz="0" w:space="0" w:color="auto"/>
            <w:bottom w:val="none" w:sz="0" w:space="0" w:color="auto"/>
            <w:right w:val="none" w:sz="0" w:space="0" w:color="auto"/>
          </w:divBdr>
          <w:divsChild>
            <w:div w:id="341736686">
              <w:marLeft w:val="0"/>
              <w:marRight w:val="0"/>
              <w:marTop w:val="0"/>
              <w:marBottom w:val="0"/>
              <w:divBdr>
                <w:top w:val="none" w:sz="0" w:space="0" w:color="auto"/>
                <w:left w:val="none" w:sz="0" w:space="0" w:color="auto"/>
                <w:bottom w:val="none" w:sz="0" w:space="0" w:color="auto"/>
                <w:right w:val="none" w:sz="0" w:space="0" w:color="auto"/>
              </w:divBdr>
              <w:divsChild>
                <w:div w:id="893807791">
                  <w:marLeft w:val="0"/>
                  <w:marRight w:val="0"/>
                  <w:marTop w:val="0"/>
                  <w:marBottom w:val="0"/>
                  <w:divBdr>
                    <w:top w:val="none" w:sz="0" w:space="0" w:color="auto"/>
                    <w:left w:val="none" w:sz="0" w:space="0" w:color="auto"/>
                    <w:bottom w:val="none" w:sz="0" w:space="0" w:color="auto"/>
                    <w:right w:val="none" w:sz="0" w:space="0" w:color="auto"/>
                  </w:divBdr>
                  <w:divsChild>
                    <w:div w:id="1767337736">
                      <w:marLeft w:val="0"/>
                      <w:marRight w:val="0"/>
                      <w:marTop w:val="0"/>
                      <w:marBottom w:val="0"/>
                      <w:divBdr>
                        <w:top w:val="none" w:sz="0" w:space="0" w:color="auto"/>
                        <w:left w:val="single" w:sz="6" w:space="8" w:color="C1DBDD"/>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h.kronoshosting.com/wfc/logon/"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don.pagel@houstontx.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h.kronoshosting.com/wfc/applications/wtk/html/ess/quick-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Pagel</dc:creator>
  <cp:lastModifiedBy>Don Pagel</cp:lastModifiedBy>
  <cp:revision>3</cp:revision>
  <cp:lastPrinted>2011-11-15T20:25:00Z</cp:lastPrinted>
  <dcterms:created xsi:type="dcterms:W3CDTF">2011-11-15T19:45:00Z</dcterms:created>
  <dcterms:modified xsi:type="dcterms:W3CDTF">2011-11-15T21:18:00Z</dcterms:modified>
</cp:coreProperties>
</file>